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FDC40" w14:textId="32BAEA8C" w:rsidR="00C1265C" w:rsidRPr="00710CD8" w:rsidRDefault="00164FB0" w:rsidP="00C1265C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  <w:lang w:val="de-DE"/>
        </w:rPr>
      </w:pPr>
      <w:r>
        <w:rPr>
          <w:rFonts w:ascii="Arial" w:hAnsi="Arial" w:cs="Arial"/>
          <w:bCs/>
          <w:color w:val="auto"/>
          <w:sz w:val="20"/>
          <w:szCs w:val="20"/>
          <w:lang w:val="de-DE"/>
        </w:rPr>
        <w:t xml:space="preserve">Internationaler Wettbewerb für </w:t>
      </w:r>
      <w:r w:rsidR="00C816D5">
        <w:rPr>
          <w:rFonts w:ascii="Arial" w:hAnsi="Arial" w:cs="Arial"/>
          <w:bCs/>
          <w:color w:val="auto"/>
          <w:sz w:val="20"/>
          <w:szCs w:val="20"/>
          <w:lang w:val="de-DE"/>
        </w:rPr>
        <w:t xml:space="preserve">Start-Ups </w:t>
      </w:r>
      <w:r>
        <w:rPr>
          <w:rFonts w:ascii="Arial" w:hAnsi="Arial" w:cs="Arial"/>
          <w:bCs/>
          <w:color w:val="auto"/>
          <w:sz w:val="20"/>
          <w:szCs w:val="20"/>
          <w:lang w:val="de-DE"/>
        </w:rPr>
        <w:t>belohnt Ideen für die</w:t>
      </w:r>
      <w:r w:rsidR="00AC7968">
        <w:rPr>
          <w:rFonts w:ascii="Arial" w:hAnsi="Arial" w:cs="Arial"/>
          <w:bCs/>
          <w:color w:val="auto"/>
          <w:sz w:val="20"/>
          <w:szCs w:val="20"/>
          <w:lang w:val="de-DE"/>
        </w:rPr>
        <w:t xml:space="preserve"> digitale Wirtschaft</w:t>
      </w:r>
    </w:p>
    <w:p w14:paraId="1A171001" w14:textId="0BA519FC" w:rsidR="00182E62" w:rsidRPr="006F5282" w:rsidRDefault="00C1265C">
      <w:pPr>
        <w:pStyle w:val="Default"/>
        <w:jc w:val="both"/>
        <w:rPr>
          <w:rStyle w:val="Fett"/>
          <w:rFonts w:ascii="Arial" w:eastAsia="Arial" w:hAnsi="Arial" w:cs="Arial"/>
          <w:color w:val="auto"/>
          <w:lang w:val="de-DE" w:eastAsia="de-DE"/>
        </w:rPr>
      </w:pPr>
      <w:r>
        <w:rPr>
          <w:rStyle w:val="Fett"/>
          <w:rFonts w:ascii="Arial" w:eastAsia="Arial" w:hAnsi="Arial" w:cs="Arial"/>
          <w:color w:val="auto"/>
          <w:lang w:val="de-DE" w:eastAsia="de-DE"/>
        </w:rPr>
        <w:t>NTT</w:t>
      </w:r>
      <w:r w:rsidR="0047608E">
        <w:rPr>
          <w:rStyle w:val="Fett"/>
          <w:rFonts w:ascii="Arial" w:eastAsia="Arial" w:hAnsi="Arial" w:cs="Arial"/>
          <w:color w:val="auto"/>
          <w:lang w:val="de-DE" w:eastAsia="de-DE"/>
        </w:rPr>
        <w:t xml:space="preserve"> </w:t>
      </w:r>
      <w:r>
        <w:rPr>
          <w:rStyle w:val="Fett"/>
          <w:rFonts w:ascii="Arial" w:eastAsia="Arial" w:hAnsi="Arial" w:cs="Arial"/>
          <w:color w:val="auto"/>
          <w:lang w:val="de-DE" w:eastAsia="de-DE"/>
        </w:rPr>
        <w:t>DATA</w:t>
      </w:r>
      <w:r w:rsidR="003A1B38">
        <w:rPr>
          <w:rStyle w:val="Fett"/>
          <w:rFonts w:ascii="Arial" w:eastAsia="Arial" w:hAnsi="Arial" w:cs="Arial"/>
          <w:color w:val="auto"/>
          <w:lang w:val="de-DE" w:eastAsia="de-DE"/>
        </w:rPr>
        <w:t xml:space="preserve"> startet Bewerbungsphase für e</w:t>
      </w:r>
      <w:r w:rsidR="00CF7707">
        <w:rPr>
          <w:rStyle w:val="Fett"/>
          <w:rFonts w:ascii="Arial" w:eastAsia="Arial" w:hAnsi="Arial" w:cs="Arial"/>
          <w:color w:val="auto"/>
          <w:lang w:val="de-DE" w:eastAsia="de-DE"/>
        </w:rPr>
        <w:t>lften</w:t>
      </w:r>
      <w:r w:rsidR="00820FEF">
        <w:rPr>
          <w:rStyle w:val="Fett"/>
          <w:rFonts w:ascii="Arial" w:eastAsia="Arial" w:hAnsi="Arial" w:cs="Arial"/>
          <w:color w:val="auto"/>
          <w:lang w:val="de-DE" w:eastAsia="de-DE"/>
        </w:rPr>
        <w:t xml:space="preserve"> Open Innovation Contest</w:t>
      </w:r>
    </w:p>
    <w:p w14:paraId="5A8C752B" w14:textId="77777777" w:rsidR="00182E62" w:rsidRPr="006F5282" w:rsidRDefault="00182E62">
      <w:pPr>
        <w:pStyle w:val="Default"/>
        <w:jc w:val="both"/>
        <w:rPr>
          <w:rFonts w:ascii="Arial" w:hAnsi="Arial" w:cs="Arial"/>
          <w:b/>
          <w:sz w:val="20"/>
          <w:lang w:val="de-DE"/>
        </w:rPr>
      </w:pPr>
    </w:p>
    <w:p w14:paraId="6A667A01" w14:textId="415E1F6D" w:rsidR="005825B3" w:rsidRDefault="00A53BEE" w:rsidP="00A84761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6F5282">
        <w:rPr>
          <w:rFonts w:ascii="Arial" w:hAnsi="Arial" w:cs="Arial"/>
          <w:b/>
          <w:sz w:val="20"/>
          <w:lang w:val="de-DE"/>
        </w:rPr>
        <w:t>München</w:t>
      </w:r>
      <w:r w:rsidR="00C1265C">
        <w:rPr>
          <w:rFonts w:ascii="Arial" w:hAnsi="Arial" w:cs="Arial"/>
          <w:b/>
          <w:sz w:val="20"/>
          <w:lang w:val="de-DE"/>
        </w:rPr>
        <w:t xml:space="preserve">, </w:t>
      </w:r>
      <w:r w:rsidR="007B1CEB">
        <w:rPr>
          <w:rFonts w:ascii="Arial" w:hAnsi="Arial" w:cs="Arial"/>
          <w:b/>
          <w:sz w:val="20"/>
          <w:lang w:val="de-DE"/>
        </w:rPr>
        <w:t>14</w:t>
      </w:r>
      <w:r w:rsidR="00A75E4C">
        <w:rPr>
          <w:rFonts w:ascii="Arial" w:hAnsi="Arial" w:cs="Arial"/>
          <w:b/>
          <w:sz w:val="20"/>
          <w:lang w:val="de-DE"/>
        </w:rPr>
        <w:t>. August</w:t>
      </w:r>
      <w:r w:rsidR="00C1265C">
        <w:rPr>
          <w:rFonts w:ascii="Arial" w:hAnsi="Arial" w:cs="Arial"/>
          <w:b/>
          <w:sz w:val="20"/>
          <w:lang w:val="de-DE"/>
        </w:rPr>
        <w:t xml:space="preserve"> 2020</w:t>
      </w:r>
      <w:r w:rsidRPr="006F5282">
        <w:rPr>
          <w:rFonts w:ascii="Arial" w:hAnsi="Arial" w:cs="Arial"/>
          <w:sz w:val="20"/>
          <w:lang w:val="de-DE"/>
        </w:rPr>
        <w:t xml:space="preserve"> – </w:t>
      </w:r>
      <w:r w:rsidR="00C1265C">
        <w:rPr>
          <w:rFonts w:ascii="Arial" w:hAnsi="Arial" w:cs="Arial"/>
          <w:sz w:val="20"/>
          <w:lang w:val="de-DE"/>
        </w:rPr>
        <w:t>NTT DATA, ein</w:t>
      </w:r>
      <w:r w:rsidR="00A75E4C">
        <w:rPr>
          <w:rFonts w:ascii="Arial" w:hAnsi="Arial" w:cs="Arial"/>
          <w:sz w:val="20"/>
          <w:lang w:val="de-DE"/>
        </w:rPr>
        <w:t xml:space="preserve"> führender Anbieter von Business- und IT-Lösungen</w:t>
      </w:r>
      <w:r w:rsidR="00CB0FB5">
        <w:rPr>
          <w:rFonts w:ascii="Arial" w:hAnsi="Arial" w:cs="Arial"/>
          <w:sz w:val="20"/>
          <w:lang w:val="de-DE"/>
        </w:rPr>
        <w:t>,</w:t>
      </w:r>
      <w:r w:rsidR="00A75E4C">
        <w:rPr>
          <w:rFonts w:ascii="Arial" w:hAnsi="Arial" w:cs="Arial"/>
          <w:sz w:val="20"/>
          <w:lang w:val="de-DE"/>
        </w:rPr>
        <w:t xml:space="preserve"> </w:t>
      </w:r>
      <w:r w:rsidR="005C6DF7">
        <w:rPr>
          <w:rFonts w:ascii="Arial" w:hAnsi="Arial" w:cs="Arial"/>
          <w:sz w:val="20"/>
          <w:lang w:val="de-DE"/>
        </w:rPr>
        <w:t>startet</w:t>
      </w:r>
      <w:r w:rsidR="00716D6A">
        <w:rPr>
          <w:rFonts w:ascii="Arial" w:hAnsi="Arial" w:cs="Arial"/>
          <w:sz w:val="20"/>
          <w:lang w:val="de-DE"/>
        </w:rPr>
        <w:t>e</w:t>
      </w:r>
      <w:r w:rsidR="005C6DF7">
        <w:rPr>
          <w:rFonts w:ascii="Arial" w:hAnsi="Arial" w:cs="Arial"/>
          <w:sz w:val="20"/>
          <w:lang w:val="de-DE"/>
        </w:rPr>
        <w:t xml:space="preserve"> am</w:t>
      </w:r>
      <w:r w:rsidR="00A75E4C">
        <w:rPr>
          <w:rFonts w:ascii="Arial" w:hAnsi="Arial" w:cs="Arial"/>
          <w:sz w:val="20"/>
          <w:lang w:val="de-DE"/>
        </w:rPr>
        <w:t xml:space="preserve"> </w:t>
      </w:r>
      <w:r w:rsidR="007E3FD4">
        <w:rPr>
          <w:rFonts w:ascii="Arial" w:hAnsi="Arial" w:cs="Arial"/>
          <w:sz w:val="20"/>
          <w:lang w:val="de-DE"/>
        </w:rPr>
        <w:t>0</w:t>
      </w:r>
      <w:r w:rsidR="00A75E4C">
        <w:rPr>
          <w:rFonts w:ascii="Arial" w:hAnsi="Arial" w:cs="Arial"/>
          <w:sz w:val="20"/>
          <w:lang w:val="de-DE"/>
        </w:rPr>
        <w:t>6. August 2020</w:t>
      </w:r>
      <w:r w:rsidR="00F533AC">
        <w:rPr>
          <w:rFonts w:ascii="Arial" w:hAnsi="Arial" w:cs="Arial"/>
          <w:sz w:val="20"/>
          <w:lang w:val="de-DE"/>
        </w:rPr>
        <w:t xml:space="preserve"> </w:t>
      </w:r>
      <w:r w:rsidR="005C6DF7">
        <w:rPr>
          <w:rFonts w:ascii="Arial" w:hAnsi="Arial" w:cs="Arial"/>
          <w:sz w:val="20"/>
          <w:lang w:val="de-DE"/>
        </w:rPr>
        <w:t xml:space="preserve">die </w:t>
      </w:r>
      <w:r w:rsidR="00F533AC">
        <w:rPr>
          <w:rFonts w:ascii="Arial" w:hAnsi="Arial" w:cs="Arial"/>
          <w:sz w:val="20"/>
          <w:lang w:val="de-DE"/>
        </w:rPr>
        <w:t>Bewerbung</w:t>
      </w:r>
      <w:r w:rsidR="005C6DF7">
        <w:rPr>
          <w:rFonts w:ascii="Arial" w:hAnsi="Arial" w:cs="Arial"/>
          <w:sz w:val="20"/>
          <w:lang w:val="de-DE"/>
        </w:rPr>
        <w:t>sfrist</w:t>
      </w:r>
      <w:r w:rsidR="00A75E4C">
        <w:rPr>
          <w:rFonts w:ascii="Arial" w:hAnsi="Arial" w:cs="Arial"/>
          <w:sz w:val="20"/>
          <w:lang w:val="de-DE"/>
        </w:rPr>
        <w:t xml:space="preserve"> für den </w:t>
      </w:r>
      <w:r w:rsidR="00CF7707">
        <w:rPr>
          <w:rFonts w:ascii="Arial" w:hAnsi="Arial" w:cs="Arial"/>
          <w:sz w:val="20"/>
          <w:lang w:val="de-DE"/>
        </w:rPr>
        <w:t>elften</w:t>
      </w:r>
      <w:r w:rsidR="00D007A0">
        <w:rPr>
          <w:rFonts w:ascii="Arial" w:hAnsi="Arial" w:cs="Arial"/>
          <w:sz w:val="20"/>
          <w:lang w:val="de-DE"/>
        </w:rPr>
        <w:t xml:space="preserve"> Open Innovation Contest</w:t>
      </w:r>
      <w:bookmarkStart w:id="0" w:name="_Hlk45268409"/>
      <w:r w:rsidR="003A1B38">
        <w:rPr>
          <w:rFonts w:ascii="Arial" w:hAnsi="Arial" w:cs="Arial"/>
          <w:sz w:val="20"/>
          <w:lang w:val="de-DE"/>
        </w:rPr>
        <w:t xml:space="preserve">. </w:t>
      </w:r>
      <w:r w:rsidR="007E3FD4">
        <w:rPr>
          <w:rFonts w:ascii="Arial" w:hAnsi="Arial" w:cs="Arial"/>
          <w:sz w:val="20"/>
          <w:lang w:val="de-DE"/>
        </w:rPr>
        <w:t xml:space="preserve">Der Wettbewerb </w:t>
      </w:r>
      <w:r w:rsidR="00CF7707">
        <w:rPr>
          <w:rFonts w:ascii="Arial" w:hAnsi="Arial" w:cs="Arial"/>
          <w:sz w:val="20"/>
          <w:lang w:val="de-DE"/>
        </w:rPr>
        <w:t xml:space="preserve">wurde 2014 ins Leben gerufen, um </w:t>
      </w:r>
      <w:r w:rsidR="001B7503">
        <w:rPr>
          <w:rFonts w:ascii="Arial" w:hAnsi="Arial" w:cs="Arial"/>
          <w:sz w:val="20"/>
          <w:lang w:val="de-DE"/>
        </w:rPr>
        <w:t xml:space="preserve">die Gründung von </w:t>
      </w:r>
      <w:r w:rsidR="00CF7707">
        <w:rPr>
          <w:rFonts w:ascii="Arial" w:hAnsi="Arial" w:cs="Arial"/>
          <w:sz w:val="20"/>
          <w:lang w:val="de-DE"/>
        </w:rPr>
        <w:t>Start-Ups</w:t>
      </w:r>
      <w:r w:rsidR="001B7503">
        <w:rPr>
          <w:rFonts w:ascii="Arial" w:hAnsi="Arial" w:cs="Arial"/>
          <w:sz w:val="20"/>
          <w:lang w:val="de-DE"/>
        </w:rPr>
        <w:t xml:space="preserve"> </w:t>
      </w:r>
      <w:r w:rsidR="00CF7707">
        <w:rPr>
          <w:rFonts w:ascii="Arial" w:hAnsi="Arial" w:cs="Arial"/>
          <w:sz w:val="20"/>
          <w:lang w:val="de-DE"/>
        </w:rPr>
        <w:t xml:space="preserve">zu </w:t>
      </w:r>
      <w:r w:rsidR="001B7503">
        <w:rPr>
          <w:rFonts w:ascii="Arial" w:hAnsi="Arial" w:cs="Arial"/>
          <w:sz w:val="20"/>
          <w:lang w:val="de-DE"/>
        </w:rPr>
        <w:t>fördern</w:t>
      </w:r>
      <w:r w:rsidR="007E3FD4">
        <w:rPr>
          <w:rFonts w:ascii="Arial" w:hAnsi="Arial" w:cs="Arial"/>
          <w:sz w:val="20"/>
          <w:lang w:val="de-DE"/>
        </w:rPr>
        <w:t>.</w:t>
      </w:r>
      <w:r w:rsidR="003A1B38">
        <w:rPr>
          <w:rFonts w:ascii="Arial" w:hAnsi="Arial" w:cs="Arial"/>
          <w:sz w:val="20"/>
          <w:lang w:val="de-DE"/>
        </w:rPr>
        <w:t xml:space="preserve"> Mit diesem elften Wettbewerb unterstützt NTT DATA</w:t>
      </w:r>
      <w:r w:rsidR="005825B3">
        <w:rPr>
          <w:rFonts w:ascii="Arial" w:hAnsi="Arial" w:cs="Arial"/>
          <w:sz w:val="20"/>
          <w:lang w:val="de-DE"/>
        </w:rPr>
        <w:t xml:space="preserve"> </w:t>
      </w:r>
      <w:r w:rsidR="005C6DF7">
        <w:rPr>
          <w:rFonts w:ascii="Arial" w:hAnsi="Arial" w:cs="Arial"/>
          <w:sz w:val="20"/>
          <w:lang w:val="de-DE"/>
        </w:rPr>
        <w:t>Start-ups</w:t>
      </w:r>
      <w:r w:rsidR="005825B3">
        <w:rPr>
          <w:rFonts w:ascii="Arial" w:hAnsi="Arial" w:cs="Arial"/>
          <w:sz w:val="20"/>
          <w:lang w:val="de-DE"/>
        </w:rPr>
        <w:t xml:space="preserve">, </w:t>
      </w:r>
      <w:r w:rsidR="005C6DF7">
        <w:rPr>
          <w:rFonts w:ascii="Arial" w:hAnsi="Arial" w:cs="Arial"/>
          <w:sz w:val="20"/>
          <w:lang w:val="de-DE"/>
        </w:rPr>
        <w:t xml:space="preserve">die </w:t>
      </w:r>
      <w:r w:rsidR="005825B3">
        <w:rPr>
          <w:rFonts w:ascii="Arial" w:hAnsi="Arial" w:cs="Arial"/>
          <w:sz w:val="20"/>
          <w:lang w:val="de-DE"/>
        </w:rPr>
        <w:t xml:space="preserve">Lösungen </w:t>
      </w:r>
      <w:r w:rsidR="005C6DF7">
        <w:rPr>
          <w:rFonts w:ascii="Arial" w:hAnsi="Arial" w:cs="Arial"/>
          <w:sz w:val="20"/>
          <w:lang w:val="de-DE"/>
        </w:rPr>
        <w:t>aus</w:t>
      </w:r>
      <w:r w:rsidR="005825B3">
        <w:rPr>
          <w:rFonts w:ascii="Arial" w:hAnsi="Arial" w:cs="Arial"/>
          <w:sz w:val="20"/>
          <w:lang w:val="de-DE"/>
        </w:rPr>
        <w:t xml:space="preserve"> den Bereichen Smart City, Digital Healthcare und Exponential Technology </w:t>
      </w:r>
      <w:r w:rsidR="005C6DF7">
        <w:rPr>
          <w:rFonts w:ascii="Arial" w:hAnsi="Arial" w:cs="Arial"/>
          <w:sz w:val="20"/>
          <w:lang w:val="de-DE"/>
        </w:rPr>
        <w:t>entwickeln</w:t>
      </w:r>
      <w:r w:rsidR="005825B3">
        <w:rPr>
          <w:rFonts w:ascii="Arial" w:hAnsi="Arial" w:cs="Arial"/>
          <w:sz w:val="20"/>
          <w:lang w:val="de-DE"/>
        </w:rPr>
        <w:t xml:space="preserve">. Weltweit </w:t>
      </w:r>
      <w:r w:rsidR="007B1CEB">
        <w:rPr>
          <w:rFonts w:ascii="Arial" w:hAnsi="Arial" w:cs="Arial"/>
          <w:sz w:val="20"/>
          <w:lang w:val="de-DE"/>
        </w:rPr>
        <w:t>werden</w:t>
      </w:r>
      <w:r w:rsidR="00164FB0">
        <w:rPr>
          <w:rFonts w:ascii="Arial" w:hAnsi="Arial" w:cs="Arial"/>
          <w:sz w:val="20"/>
          <w:lang w:val="de-DE"/>
        </w:rPr>
        <w:t xml:space="preserve"> </w:t>
      </w:r>
      <w:r w:rsidR="005825B3">
        <w:rPr>
          <w:rFonts w:ascii="Arial" w:hAnsi="Arial" w:cs="Arial"/>
          <w:sz w:val="20"/>
          <w:lang w:val="de-DE"/>
        </w:rPr>
        <w:t xml:space="preserve">regionale Wettbewerbe </w:t>
      </w:r>
      <w:r w:rsidR="007B1CEB">
        <w:rPr>
          <w:rFonts w:ascii="Arial" w:hAnsi="Arial" w:cs="Arial"/>
          <w:sz w:val="20"/>
          <w:lang w:val="de-DE"/>
        </w:rPr>
        <w:t>ausgetragen</w:t>
      </w:r>
      <w:r w:rsidR="005825B3">
        <w:rPr>
          <w:rFonts w:ascii="Arial" w:hAnsi="Arial" w:cs="Arial"/>
          <w:sz w:val="20"/>
          <w:lang w:val="de-DE"/>
        </w:rPr>
        <w:t xml:space="preserve">, </w:t>
      </w:r>
      <w:r w:rsidR="00164FB0">
        <w:rPr>
          <w:rFonts w:ascii="Arial" w:hAnsi="Arial" w:cs="Arial"/>
          <w:sz w:val="20"/>
          <w:lang w:val="de-DE"/>
        </w:rPr>
        <w:t xml:space="preserve">die </w:t>
      </w:r>
      <w:r w:rsidR="005825B3">
        <w:rPr>
          <w:rFonts w:ascii="Arial" w:hAnsi="Arial" w:cs="Arial"/>
          <w:sz w:val="20"/>
          <w:lang w:val="de-DE"/>
        </w:rPr>
        <w:t xml:space="preserve">Gewinner </w:t>
      </w:r>
      <w:r w:rsidR="00164FB0">
        <w:rPr>
          <w:rFonts w:ascii="Arial" w:hAnsi="Arial" w:cs="Arial"/>
          <w:sz w:val="20"/>
          <w:lang w:val="de-DE"/>
        </w:rPr>
        <w:t xml:space="preserve">qualifizieren </w:t>
      </w:r>
      <w:r w:rsidR="005825B3">
        <w:rPr>
          <w:rFonts w:ascii="Arial" w:hAnsi="Arial" w:cs="Arial"/>
          <w:sz w:val="20"/>
          <w:lang w:val="de-DE"/>
        </w:rPr>
        <w:t>sich für das Finale im Janua</w:t>
      </w:r>
      <w:r w:rsidR="007B1CEB">
        <w:rPr>
          <w:rFonts w:ascii="Arial" w:hAnsi="Arial" w:cs="Arial"/>
          <w:sz w:val="20"/>
          <w:lang w:val="de-DE"/>
        </w:rPr>
        <w:t>r 2021. Ziel des Wettbewerbs ist</w:t>
      </w:r>
      <w:r w:rsidR="005825B3">
        <w:rPr>
          <w:rFonts w:ascii="Arial" w:hAnsi="Arial" w:cs="Arial"/>
          <w:sz w:val="20"/>
          <w:lang w:val="de-DE"/>
        </w:rPr>
        <w:t xml:space="preserve">, durch die Kooperation mit NTT DATA neue Geschäftsmöglichkeiten zu eröffnen. </w:t>
      </w:r>
    </w:p>
    <w:p w14:paraId="72EAE064" w14:textId="1F6299BE" w:rsidR="00CB0FB5" w:rsidRDefault="00CB0FB5" w:rsidP="00A8476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24B0CDF0" w14:textId="17CB3540" w:rsidR="00CB0FB5" w:rsidRDefault="00CB0FB5" w:rsidP="00A84761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Um die Verbreitung von COVID-19 zu verhindern, </w:t>
      </w:r>
      <w:r w:rsidR="001B7E0A">
        <w:rPr>
          <w:rFonts w:ascii="Arial" w:hAnsi="Arial" w:cs="Arial"/>
          <w:sz w:val="20"/>
          <w:lang w:val="de-DE"/>
        </w:rPr>
        <w:t>finden</w:t>
      </w:r>
      <w:r>
        <w:rPr>
          <w:rFonts w:ascii="Arial" w:hAnsi="Arial" w:cs="Arial"/>
          <w:sz w:val="20"/>
          <w:lang w:val="de-DE"/>
        </w:rPr>
        <w:t xml:space="preserve"> die Wettbewerbe online </w:t>
      </w:r>
      <w:r w:rsidR="001B7E0A">
        <w:rPr>
          <w:rFonts w:ascii="Arial" w:hAnsi="Arial" w:cs="Arial"/>
          <w:sz w:val="20"/>
          <w:lang w:val="de-DE"/>
        </w:rPr>
        <w:t>statt</w:t>
      </w:r>
      <w:r>
        <w:rPr>
          <w:rFonts w:ascii="Arial" w:hAnsi="Arial" w:cs="Arial"/>
          <w:sz w:val="20"/>
          <w:lang w:val="de-DE"/>
        </w:rPr>
        <w:t>.</w:t>
      </w:r>
    </w:p>
    <w:p w14:paraId="777EE477" w14:textId="77777777" w:rsidR="004F3847" w:rsidRDefault="004F3847" w:rsidP="00A8476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4AB169E3" w14:textId="64C34753" w:rsidR="00CB0FB5" w:rsidRDefault="004F3847" w:rsidP="00A84761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NTT DATA </w:t>
      </w:r>
      <w:r w:rsidR="00716D6A">
        <w:rPr>
          <w:rFonts w:ascii="Arial" w:hAnsi="Arial" w:cs="Arial"/>
          <w:sz w:val="20"/>
          <w:lang w:val="de-DE"/>
        </w:rPr>
        <w:t>schafft mit</w:t>
      </w:r>
      <w:r w:rsidR="005C6DF7">
        <w:rPr>
          <w:rFonts w:ascii="Arial" w:hAnsi="Arial" w:cs="Arial"/>
          <w:sz w:val="20"/>
          <w:lang w:val="de-DE"/>
        </w:rPr>
        <w:t xml:space="preserve"> </w:t>
      </w:r>
      <w:r w:rsidR="00716D6A">
        <w:rPr>
          <w:rFonts w:ascii="Arial" w:hAnsi="Arial" w:cs="Arial"/>
          <w:sz w:val="20"/>
          <w:lang w:val="de-DE"/>
        </w:rPr>
        <w:t>den</w:t>
      </w:r>
      <w:r w:rsidR="00E535D0">
        <w:rPr>
          <w:rFonts w:ascii="Arial" w:hAnsi="Arial" w:cs="Arial"/>
          <w:sz w:val="20"/>
          <w:lang w:val="de-DE"/>
        </w:rPr>
        <w:t xml:space="preserve"> Innovation</w:t>
      </w:r>
      <w:r w:rsidR="005C6DF7">
        <w:rPr>
          <w:rFonts w:ascii="Arial" w:hAnsi="Arial" w:cs="Arial"/>
          <w:sz w:val="20"/>
          <w:lang w:val="de-DE"/>
        </w:rPr>
        <w:t>en aus diesem Wettbewerb sowie aus</w:t>
      </w:r>
      <w:r>
        <w:rPr>
          <w:rFonts w:ascii="Arial" w:hAnsi="Arial" w:cs="Arial"/>
          <w:sz w:val="20"/>
          <w:lang w:val="de-DE"/>
        </w:rPr>
        <w:t xml:space="preserve"> seine</w:t>
      </w:r>
      <w:r w:rsidR="005C6DF7">
        <w:rPr>
          <w:rFonts w:ascii="Arial" w:hAnsi="Arial" w:cs="Arial"/>
          <w:sz w:val="20"/>
          <w:lang w:val="de-DE"/>
        </w:rPr>
        <w:t>n</w:t>
      </w:r>
      <w:r w:rsidR="00164FB0">
        <w:rPr>
          <w:rFonts w:ascii="Arial" w:hAnsi="Arial" w:cs="Arial"/>
          <w:sz w:val="20"/>
          <w:lang w:val="de-DE"/>
        </w:rPr>
        <w:t xml:space="preserve"> internationalen</w:t>
      </w:r>
      <w:r>
        <w:rPr>
          <w:rFonts w:ascii="Arial" w:hAnsi="Arial" w:cs="Arial"/>
          <w:sz w:val="20"/>
          <w:lang w:val="de-DE"/>
        </w:rPr>
        <w:t xml:space="preserve"> </w:t>
      </w:r>
      <w:r w:rsidR="005C6DF7">
        <w:rPr>
          <w:rFonts w:ascii="Arial" w:hAnsi="Arial" w:cs="Arial"/>
          <w:sz w:val="20"/>
          <w:lang w:val="de-DE"/>
        </w:rPr>
        <w:t>Innovationsn</w:t>
      </w:r>
      <w:r>
        <w:rPr>
          <w:rFonts w:ascii="Arial" w:hAnsi="Arial" w:cs="Arial"/>
          <w:sz w:val="20"/>
          <w:lang w:val="de-DE"/>
        </w:rPr>
        <w:t>etzwerke</w:t>
      </w:r>
      <w:r w:rsidR="005C6DF7">
        <w:rPr>
          <w:rFonts w:ascii="Arial" w:hAnsi="Arial" w:cs="Arial"/>
          <w:sz w:val="20"/>
          <w:lang w:val="de-DE"/>
        </w:rPr>
        <w:t>n</w:t>
      </w:r>
      <w:r>
        <w:rPr>
          <w:rFonts w:ascii="Arial" w:hAnsi="Arial" w:cs="Arial"/>
          <w:sz w:val="20"/>
          <w:lang w:val="de-DE"/>
        </w:rPr>
        <w:t xml:space="preserve"> eine „Win-Win-Win-Situation“ für</w:t>
      </w:r>
      <w:r w:rsidR="00E535D0">
        <w:rPr>
          <w:rFonts w:ascii="Arial" w:hAnsi="Arial" w:cs="Arial"/>
          <w:sz w:val="20"/>
          <w:lang w:val="de-DE"/>
        </w:rPr>
        <w:t xml:space="preserve"> Start-Ups</w:t>
      </w:r>
      <w:r>
        <w:rPr>
          <w:rFonts w:ascii="Arial" w:hAnsi="Arial" w:cs="Arial"/>
          <w:sz w:val="20"/>
          <w:lang w:val="de-DE"/>
        </w:rPr>
        <w:t xml:space="preserve">, </w:t>
      </w:r>
      <w:r w:rsidR="00C816D5">
        <w:rPr>
          <w:rFonts w:ascii="Arial" w:hAnsi="Arial" w:cs="Arial"/>
          <w:sz w:val="20"/>
          <w:lang w:val="de-DE"/>
        </w:rPr>
        <w:t>Unternehmensk</w:t>
      </w:r>
      <w:r>
        <w:rPr>
          <w:rFonts w:ascii="Arial" w:hAnsi="Arial" w:cs="Arial"/>
          <w:sz w:val="20"/>
          <w:lang w:val="de-DE"/>
        </w:rPr>
        <w:t>unden und NTT DATA</w:t>
      </w:r>
      <w:r w:rsidR="007B1CEB">
        <w:rPr>
          <w:rFonts w:ascii="Arial" w:hAnsi="Arial" w:cs="Arial"/>
          <w:sz w:val="20"/>
          <w:lang w:val="de-DE"/>
        </w:rPr>
        <w:t xml:space="preserve"> und unterstützt so auch weiterhin die Gr</w:t>
      </w:r>
      <w:r w:rsidRPr="00442DCE">
        <w:rPr>
          <w:rFonts w:ascii="Arial" w:hAnsi="Arial" w:cs="Arial"/>
          <w:sz w:val="20"/>
          <w:lang w:val="de-DE"/>
        </w:rPr>
        <w:t xml:space="preserve">ündung neuer </w:t>
      </w:r>
      <w:r w:rsidR="005C6DF7" w:rsidRPr="00442DCE">
        <w:rPr>
          <w:rFonts w:ascii="Arial" w:hAnsi="Arial" w:cs="Arial"/>
          <w:sz w:val="20"/>
          <w:lang w:val="de-DE"/>
        </w:rPr>
        <w:t>Unternehmen für soziale Infrastruk</w:t>
      </w:r>
      <w:r w:rsidR="00164FB0">
        <w:rPr>
          <w:rFonts w:ascii="Arial" w:hAnsi="Arial" w:cs="Arial"/>
          <w:sz w:val="20"/>
          <w:lang w:val="de-DE"/>
        </w:rPr>
        <w:t>t</w:t>
      </w:r>
      <w:r w:rsidR="005C6DF7" w:rsidRPr="00442DCE">
        <w:rPr>
          <w:rFonts w:ascii="Arial" w:hAnsi="Arial" w:cs="Arial"/>
          <w:sz w:val="20"/>
          <w:lang w:val="de-DE"/>
        </w:rPr>
        <w:t>ur</w:t>
      </w:r>
      <w:r w:rsidR="00164FB0">
        <w:rPr>
          <w:rFonts w:ascii="Arial" w:hAnsi="Arial" w:cs="Arial"/>
          <w:sz w:val="20"/>
          <w:lang w:val="de-DE"/>
        </w:rPr>
        <w:t>en</w:t>
      </w:r>
      <w:r w:rsidRPr="00442DCE">
        <w:rPr>
          <w:rFonts w:ascii="Arial" w:hAnsi="Arial" w:cs="Arial"/>
          <w:sz w:val="20"/>
          <w:lang w:val="de-DE"/>
        </w:rPr>
        <w:t>.</w:t>
      </w:r>
      <w:r>
        <w:rPr>
          <w:rFonts w:ascii="Arial" w:hAnsi="Arial" w:cs="Arial"/>
          <w:sz w:val="20"/>
          <w:lang w:val="de-DE"/>
        </w:rPr>
        <w:t xml:space="preserve"> </w:t>
      </w:r>
    </w:p>
    <w:p w14:paraId="32943044" w14:textId="5B20BE40" w:rsidR="00262CC2" w:rsidRDefault="00262CC2" w:rsidP="00A8476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122F77FE" w14:textId="0DD9B413" w:rsidR="00262CC2" w:rsidRPr="00262CC2" w:rsidRDefault="00262CC2" w:rsidP="00A84761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262CC2">
        <w:rPr>
          <w:rFonts w:ascii="Arial" w:hAnsi="Arial" w:cs="Arial"/>
          <w:sz w:val="20"/>
          <w:lang w:val="de-DE"/>
        </w:rPr>
        <w:t>Stefan Hansen, Chief Executive Officer NTT DATA DACH, sagt: “Der Open Innovation Contest steht für die nachhaltige Innovationsstra</w:t>
      </w:r>
      <w:r>
        <w:rPr>
          <w:rFonts w:ascii="Arial" w:hAnsi="Arial" w:cs="Arial"/>
          <w:sz w:val="20"/>
          <w:lang w:val="de-DE"/>
        </w:rPr>
        <w:t xml:space="preserve">tegie der NTT DATA, mit der wir </w:t>
      </w:r>
      <w:r w:rsidR="000749E1">
        <w:rPr>
          <w:rFonts w:ascii="Arial" w:hAnsi="Arial" w:cs="Arial"/>
          <w:sz w:val="20"/>
          <w:lang w:val="de-DE"/>
        </w:rPr>
        <w:t xml:space="preserve">Start-ups im deutschsprachigen Raum eine einmalige Chance bieten. Sie können sich über den Wettbewerb eine Tür in den wichtigen globalen und japanischen Markt öffnen, unterstützt von einem führenden IT-Unternehmen, das sich nachweislich für die Entwicklung von Unternehmen und Gesellschaft einsetzt.“ </w:t>
      </w:r>
    </w:p>
    <w:bookmarkEnd w:id="0"/>
    <w:p w14:paraId="0B3F0FD4" w14:textId="77777777" w:rsidR="00C816D5" w:rsidRPr="00262CC2" w:rsidRDefault="00C816D5" w:rsidP="002F251F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23061E28" w14:textId="7F3ABBAE" w:rsidR="002F251F" w:rsidRPr="00262CC2" w:rsidRDefault="00C42670" w:rsidP="002F251F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MS PMincho" w:eastAsia="MS PMincho" w:hAnsi="MS PMincho"/>
          <w:bCs/>
          <w:noProof/>
          <w:snapToGrid w:val="0"/>
          <w:szCs w:val="21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B1269F2" wp14:editId="1731BCD8">
            <wp:simplePos x="0" y="0"/>
            <wp:positionH relativeFrom="margin">
              <wp:align>right</wp:align>
            </wp:positionH>
            <wp:positionV relativeFrom="paragraph">
              <wp:posOffset>206375</wp:posOffset>
            </wp:positionV>
            <wp:extent cx="5400040" cy="254063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78BB7" w14:textId="7557C6DC" w:rsidR="00A75E4C" w:rsidRDefault="00A84761" w:rsidP="00A84761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     </w:t>
      </w:r>
      <w:r w:rsidR="00C42670">
        <w:rPr>
          <w:rFonts w:ascii="Arial" w:hAnsi="Arial" w:cs="Arial"/>
          <w:sz w:val="20"/>
          <w:lang w:val="de-DE"/>
        </w:rPr>
        <w:t xml:space="preserve">Fig.1: </w:t>
      </w:r>
      <w:r w:rsidR="00272B6A">
        <w:rPr>
          <w:rFonts w:ascii="Arial" w:hAnsi="Arial" w:cs="Arial"/>
          <w:sz w:val="20"/>
          <w:lang w:val="de-DE"/>
        </w:rPr>
        <w:t>NTT DATA Group-Unternehmen</w:t>
      </w:r>
      <w:r w:rsidR="00C42670">
        <w:rPr>
          <w:rFonts w:ascii="Arial" w:hAnsi="Arial" w:cs="Arial"/>
          <w:sz w:val="20"/>
          <w:lang w:val="de-DE"/>
        </w:rPr>
        <w:t xml:space="preserve"> und Märkte für den 11. Open Innovation Contest</w:t>
      </w:r>
    </w:p>
    <w:p w14:paraId="7D5F29AA" w14:textId="46CE4AF4" w:rsidR="00C42670" w:rsidRDefault="00C42670" w:rsidP="002F251F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731E5791" w14:textId="77777777" w:rsidR="00C42670" w:rsidRDefault="00C42670" w:rsidP="002F251F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46F839A7" w14:textId="0B692FF6" w:rsidR="00C42670" w:rsidRDefault="00C42670" w:rsidP="00A84761">
      <w:pPr>
        <w:pStyle w:val="Default"/>
        <w:jc w:val="both"/>
        <w:rPr>
          <w:rFonts w:ascii="Arial" w:hAnsi="Arial" w:cs="Arial"/>
          <w:sz w:val="20"/>
          <w:u w:val="single"/>
          <w:lang w:val="de-DE"/>
        </w:rPr>
      </w:pPr>
      <w:r w:rsidRPr="00C42670">
        <w:rPr>
          <w:rFonts w:ascii="Arial" w:hAnsi="Arial" w:cs="Arial"/>
          <w:sz w:val="20"/>
          <w:u w:val="single"/>
          <w:lang w:val="de-DE"/>
        </w:rPr>
        <w:t>Hintergrund</w:t>
      </w:r>
    </w:p>
    <w:p w14:paraId="5D6195E8" w14:textId="3E16C8EB" w:rsidR="00C42670" w:rsidRPr="00C42670" w:rsidRDefault="00C816D5" w:rsidP="00A84761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Das digitale Geschäft</w:t>
      </w:r>
      <w:r w:rsidR="00C42670">
        <w:rPr>
          <w:rFonts w:ascii="Arial" w:hAnsi="Arial" w:cs="Arial"/>
          <w:sz w:val="20"/>
          <w:lang w:val="de-DE"/>
        </w:rPr>
        <w:t xml:space="preserve"> hat </w:t>
      </w:r>
      <w:r w:rsidR="00FB2134">
        <w:rPr>
          <w:rFonts w:ascii="Arial" w:hAnsi="Arial" w:cs="Arial"/>
          <w:sz w:val="20"/>
          <w:lang w:val="de-DE"/>
        </w:rPr>
        <w:t>sich auf alle Aspekte der Wirtschaft ausgedehnt und schre</w:t>
      </w:r>
      <w:r>
        <w:rPr>
          <w:rFonts w:ascii="Arial" w:hAnsi="Arial" w:cs="Arial"/>
          <w:sz w:val="20"/>
          <w:lang w:val="de-DE"/>
        </w:rPr>
        <w:t xml:space="preserve">itet mithilfe </w:t>
      </w:r>
      <w:r w:rsidR="00FB2134">
        <w:rPr>
          <w:rFonts w:ascii="Arial" w:hAnsi="Arial" w:cs="Arial"/>
          <w:sz w:val="20"/>
          <w:lang w:val="de-DE"/>
        </w:rPr>
        <w:t>von Spitzentechnologien</w:t>
      </w:r>
      <w:r>
        <w:rPr>
          <w:rFonts w:ascii="Arial" w:hAnsi="Arial" w:cs="Arial"/>
          <w:sz w:val="20"/>
          <w:lang w:val="de-DE"/>
        </w:rPr>
        <w:t xml:space="preserve"> immer</w:t>
      </w:r>
      <w:r w:rsidR="00FB2134">
        <w:rPr>
          <w:rFonts w:ascii="Arial" w:hAnsi="Arial" w:cs="Arial"/>
          <w:sz w:val="20"/>
          <w:lang w:val="de-DE"/>
        </w:rPr>
        <w:t xml:space="preserve"> weiter voran. Im </w:t>
      </w:r>
      <w:r>
        <w:rPr>
          <w:rFonts w:ascii="Arial" w:hAnsi="Arial" w:cs="Arial"/>
          <w:sz w:val="20"/>
          <w:lang w:val="de-DE"/>
        </w:rPr>
        <w:t xml:space="preserve">Open Innovation Contest </w:t>
      </w:r>
      <w:r w:rsidR="00FB2134">
        <w:rPr>
          <w:rFonts w:ascii="Arial" w:hAnsi="Arial" w:cs="Arial"/>
          <w:sz w:val="20"/>
          <w:lang w:val="de-DE"/>
        </w:rPr>
        <w:t xml:space="preserve">hat NTT DATA </w:t>
      </w:r>
      <w:r w:rsidR="000816CB">
        <w:rPr>
          <w:rFonts w:ascii="Arial" w:hAnsi="Arial" w:cs="Arial"/>
          <w:sz w:val="20"/>
          <w:lang w:val="de-DE"/>
        </w:rPr>
        <w:t xml:space="preserve">bereits </w:t>
      </w:r>
      <w:r w:rsidR="000816CB">
        <w:rPr>
          <w:rFonts w:ascii="Arial" w:hAnsi="Arial" w:cs="Arial"/>
          <w:sz w:val="20"/>
          <w:lang w:val="de-DE"/>
        </w:rPr>
        <w:lastRenderedPageBreak/>
        <w:t xml:space="preserve">mehr als </w:t>
      </w:r>
      <w:r w:rsidR="00FB2134">
        <w:rPr>
          <w:rFonts w:ascii="Arial" w:hAnsi="Arial" w:cs="Arial"/>
          <w:sz w:val="20"/>
          <w:lang w:val="de-DE"/>
        </w:rPr>
        <w:t>1.50</w:t>
      </w:r>
      <w:r w:rsidR="000816CB">
        <w:rPr>
          <w:rFonts w:ascii="Arial" w:hAnsi="Arial" w:cs="Arial"/>
          <w:sz w:val="20"/>
          <w:lang w:val="de-DE"/>
        </w:rPr>
        <w:t xml:space="preserve">0 </w:t>
      </w:r>
      <w:r w:rsidR="005C6DF7">
        <w:rPr>
          <w:rFonts w:ascii="Arial" w:hAnsi="Arial" w:cs="Arial"/>
          <w:sz w:val="20"/>
          <w:lang w:val="de-DE"/>
        </w:rPr>
        <w:t xml:space="preserve">Geschäftsideen von </w:t>
      </w:r>
      <w:r w:rsidR="00FB2134">
        <w:rPr>
          <w:rFonts w:ascii="Arial" w:hAnsi="Arial" w:cs="Arial"/>
          <w:sz w:val="20"/>
          <w:lang w:val="de-DE"/>
        </w:rPr>
        <w:t xml:space="preserve">internationalen </w:t>
      </w:r>
      <w:r w:rsidR="000816CB">
        <w:rPr>
          <w:rFonts w:ascii="Arial" w:hAnsi="Arial" w:cs="Arial"/>
          <w:sz w:val="20"/>
          <w:lang w:val="de-DE"/>
        </w:rPr>
        <w:t xml:space="preserve">Start-Ups </w:t>
      </w:r>
      <w:r w:rsidR="00FB2134">
        <w:rPr>
          <w:rFonts w:ascii="Arial" w:hAnsi="Arial" w:cs="Arial"/>
          <w:sz w:val="20"/>
          <w:lang w:val="de-DE"/>
        </w:rPr>
        <w:t>geprüft und mehr als 20</w:t>
      </w:r>
      <w:r w:rsidR="000816CB">
        <w:rPr>
          <w:rFonts w:ascii="Arial" w:hAnsi="Arial" w:cs="Arial"/>
          <w:sz w:val="20"/>
          <w:lang w:val="de-DE"/>
        </w:rPr>
        <w:t xml:space="preserve"> Ideen aus unterschiedlichen Bereichen um</w:t>
      </w:r>
      <w:r w:rsidR="005C6DF7">
        <w:rPr>
          <w:rFonts w:ascii="Arial" w:hAnsi="Arial" w:cs="Arial"/>
          <w:sz w:val="20"/>
          <w:lang w:val="de-DE"/>
        </w:rPr>
        <w:t>ge</w:t>
      </w:r>
      <w:r w:rsidR="000816CB">
        <w:rPr>
          <w:rFonts w:ascii="Arial" w:hAnsi="Arial" w:cs="Arial"/>
          <w:sz w:val="20"/>
          <w:lang w:val="de-DE"/>
        </w:rPr>
        <w:t>setz</w:t>
      </w:r>
      <w:r w:rsidR="005C6DF7">
        <w:rPr>
          <w:rFonts w:ascii="Arial" w:hAnsi="Arial" w:cs="Arial"/>
          <w:sz w:val="20"/>
          <w:lang w:val="de-DE"/>
        </w:rPr>
        <w:t>t</w:t>
      </w:r>
      <w:r w:rsidR="00FB2134">
        <w:rPr>
          <w:rFonts w:ascii="Arial" w:hAnsi="Arial" w:cs="Arial"/>
          <w:sz w:val="20"/>
          <w:lang w:val="de-DE"/>
        </w:rPr>
        <w:t xml:space="preserve">. Auch beim jüngsten Wettbewerb </w:t>
      </w:r>
      <w:r w:rsidR="00C80AED">
        <w:rPr>
          <w:rFonts w:ascii="Arial" w:hAnsi="Arial" w:cs="Arial"/>
          <w:sz w:val="20"/>
          <w:lang w:val="de-DE"/>
        </w:rPr>
        <w:t>prüft</w:t>
      </w:r>
      <w:r w:rsidR="000816CB">
        <w:rPr>
          <w:rFonts w:ascii="Arial" w:hAnsi="Arial" w:cs="Arial"/>
          <w:sz w:val="20"/>
          <w:lang w:val="de-DE"/>
        </w:rPr>
        <w:t xml:space="preserve"> </w:t>
      </w:r>
      <w:r w:rsidR="00FB2134">
        <w:rPr>
          <w:rFonts w:ascii="Arial" w:hAnsi="Arial" w:cs="Arial"/>
          <w:sz w:val="20"/>
          <w:lang w:val="de-DE"/>
        </w:rPr>
        <w:t xml:space="preserve">NTT DATA </w:t>
      </w:r>
      <w:r w:rsidR="000816CB">
        <w:rPr>
          <w:rFonts w:ascii="Arial" w:hAnsi="Arial" w:cs="Arial"/>
          <w:sz w:val="20"/>
          <w:lang w:val="de-DE"/>
        </w:rPr>
        <w:t xml:space="preserve">Kooperationsmöglichkeiten und </w:t>
      </w:r>
      <w:r w:rsidR="00C80AED">
        <w:rPr>
          <w:rFonts w:ascii="Arial" w:hAnsi="Arial" w:cs="Arial"/>
          <w:sz w:val="20"/>
          <w:lang w:val="de-DE"/>
        </w:rPr>
        <w:t>gestaltet danach eine</w:t>
      </w:r>
      <w:r w:rsidR="000816CB">
        <w:rPr>
          <w:rFonts w:ascii="Arial" w:hAnsi="Arial" w:cs="Arial"/>
          <w:sz w:val="20"/>
          <w:lang w:val="de-DE"/>
        </w:rPr>
        <w:t xml:space="preserve"> Zusammenarbeit mit Start-Ups.</w:t>
      </w:r>
    </w:p>
    <w:p w14:paraId="3FEF9C2D" w14:textId="27425BFE" w:rsidR="00C42670" w:rsidRDefault="00C42670" w:rsidP="00A84761">
      <w:pPr>
        <w:pStyle w:val="Default"/>
        <w:jc w:val="both"/>
        <w:rPr>
          <w:rFonts w:ascii="Arial" w:hAnsi="Arial" w:cs="Arial"/>
          <w:sz w:val="20"/>
          <w:u w:val="single"/>
          <w:lang w:val="de-DE"/>
        </w:rPr>
      </w:pPr>
    </w:p>
    <w:p w14:paraId="37CFF5F7" w14:textId="2FACB542" w:rsidR="00FB2134" w:rsidRPr="00D007A0" w:rsidRDefault="00FB2134" w:rsidP="00A84761">
      <w:pPr>
        <w:pStyle w:val="Default"/>
        <w:jc w:val="both"/>
        <w:rPr>
          <w:rFonts w:ascii="Arial" w:hAnsi="Arial" w:cs="Arial"/>
          <w:sz w:val="20"/>
          <w:u w:val="single"/>
          <w:lang w:val="de-DE"/>
        </w:rPr>
      </w:pPr>
      <w:r>
        <w:rPr>
          <w:rFonts w:ascii="Arial" w:hAnsi="Arial" w:cs="Arial"/>
          <w:sz w:val="20"/>
          <w:u w:val="single"/>
          <w:lang w:val="de-DE"/>
        </w:rPr>
        <w:t>Überblick über den</w:t>
      </w:r>
      <w:r w:rsidR="00FE33C3">
        <w:rPr>
          <w:rFonts w:ascii="Arial" w:hAnsi="Arial" w:cs="Arial"/>
          <w:sz w:val="20"/>
          <w:u w:val="single"/>
          <w:lang w:val="de-DE"/>
        </w:rPr>
        <w:t xml:space="preserve"> elften</w:t>
      </w:r>
      <w:r>
        <w:rPr>
          <w:rFonts w:ascii="Arial" w:hAnsi="Arial" w:cs="Arial"/>
          <w:sz w:val="20"/>
          <w:u w:val="single"/>
          <w:lang w:val="de-DE"/>
        </w:rPr>
        <w:t xml:space="preserve"> </w:t>
      </w:r>
      <w:r w:rsidRPr="00D007A0">
        <w:rPr>
          <w:rFonts w:ascii="Arial" w:hAnsi="Arial" w:cs="Arial"/>
          <w:sz w:val="20"/>
          <w:u w:val="single"/>
          <w:lang w:val="de-DE"/>
        </w:rPr>
        <w:t>Open Innovation Contest</w:t>
      </w:r>
    </w:p>
    <w:p w14:paraId="0361D9C7" w14:textId="10E3EF32" w:rsidR="00FB2134" w:rsidRPr="00FB2134" w:rsidRDefault="005825B3" w:rsidP="00A84761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Mit dem elften </w:t>
      </w:r>
      <w:r w:rsidR="00FB2134" w:rsidRPr="00FB2134">
        <w:rPr>
          <w:rFonts w:ascii="Arial" w:hAnsi="Arial" w:cs="Arial"/>
          <w:sz w:val="20"/>
          <w:lang w:val="de-DE"/>
        </w:rPr>
        <w:t xml:space="preserve">Open Innovation Contest </w:t>
      </w:r>
      <w:r>
        <w:rPr>
          <w:rFonts w:ascii="Arial" w:hAnsi="Arial" w:cs="Arial"/>
          <w:sz w:val="20"/>
          <w:lang w:val="de-DE"/>
        </w:rPr>
        <w:t>sollen</w:t>
      </w:r>
      <w:r w:rsidR="00FE33C3">
        <w:rPr>
          <w:rFonts w:ascii="Arial" w:hAnsi="Arial" w:cs="Arial"/>
          <w:sz w:val="20"/>
          <w:lang w:val="de-DE"/>
        </w:rPr>
        <w:t xml:space="preserve"> Lösungen für die Herausforderungen der globalen Gesellschaft</w:t>
      </w:r>
      <w:r>
        <w:rPr>
          <w:rFonts w:ascii="Arial" w:hAnsi="Arial" w:cs="Arial"/>
          <w:sz w:val="20"/>
          <w:lang w:val="de-DE"/>
        </w:rPr>
        <w:t xml:space="preserve"> gefunden werden. Der Wettbewerb </w:t>
      </w:r>
      <w:r w:rsidR="00FB2134" w:rsidRPr="00FE33C3">
        <w:rPr>
          <w:rFonts w:ascii="Arial" w:hAnsi="Arial" w:cs="Arial"/>
          <w:sz w:val="20"/>
          <w:lang w:val="de-DE"/>
        </w:rPr>
        <w:t xml:space="preserve">konzentriert sich auf die drei Themen </w:t>
      </w:r>
      <w:r w:rsidR="00FB2134" w:rsidRPr="00C80AED">
        <w:rPr>
          <w:rFonts w:ascii="Arial" w:hAnsi="Arial" w:cs="Arial"/>
          <w:b/>
          <w:sz w:val="20"/>
          <w:lang w:val="de-DE"/>
        </w:rPr>
        <w:t>Smart City</w:t>
      </w:r>
      <w:r w:rsidR="00FB2134" w:rsidRPr="00FE33C3">
        <w:rPr>
          <w:rFonts w:ascii="Arial" w:hAnsi="Arial" w:cs="Arial"/>
          <w:sz w:val="20"/>
          <w:lang w:val="de-DE"/>
        </w:rPr>
        <w:t xml:space="preserve">, </w:t>
      </w:r>
      <w:r w:rsidR="00FB2134" w:rsidRPr="00C80AED">
        <w:rPr>
          <w:rFonts w:ascii="Arial" w:hAnsi="Arial" w:cs="Arial"/>
          <w:b/>
          <w:sz w:val="20"/>
          <w:lang w:val="de-DE"/>
        </w:rPr>
        <w:t>Digital Healthcare</w:t>
      </w:r>
      <w:r w:rsidR="00FB2134" w:rsidRPr="00FE33C3">
        <w:rPr>
          <w:rFonts w:ascii="Arial" w:hAnsi="Arial" w:cs="Arial"/>
          <w:sz w:val="20"/>
          <w:lang w:val="de-DE"/>
        </w:rPr>
        <w:t xml:space="preserve"> und </w:t>
      </w:r>
      <w:r w:rsidR="00FB2134" w:rsidRPr="00C80AED">
        <w:rPr>
          <w:rFonts w:ascii="Arial" w:hAnsi="Arial" w:cs="Arial"/>
          <w:b/>
          <w:sz w:val="20"/>
          <w:lang w:val="de-DE"/>
        </w:rPr>
        <w:t>Exponential Technology</w:t>
      </w:r>
      <w:r w:rsidR="00FB2134" w:rsidRPr="00FE33C3">
        <w:rPr>
          <w:rFonts w:ascii="Arial" w:hAnsi="Arial" w:cs="Arial"/>
          <w:sz w:val="20"/>
          <w:lang w:val="de-DE"/>
        </w:rPr>
        <w:t>.</w:t>
      </w:r>
      <w:r w:rsidR="00FB2134">
        <w:rPr>
          <w:rFonts w:ascii="Arial" w:hAnsi="Arial" w:cs="Arial"/>
          <w:sz w:val="20"/>
          <w:lang w:val="de-DE"/>
        </w:rPr>
        <w:t xml:space="preserve"> </w:t>
      </w:r>
      <w:r w:rsidR="00FE33C3">
        <w:rPr>
          <w:rFonts w:ascii="Arial" w:hAnsi="Arial" w:cs="Arial"/>
          <w:sz w:val="20"/>
          <w:lang w:val="de-DE"/>
        </w:rPr>
        <w:t xml:space="preserve">NTT DATA lädt Tech-Start-Ups </w:t>
      </w:r>
      <w:r w:rsidR="00FB2134">
        <w:rPr>
          <w:rFonts w:ascii="Arial" w:hAnsi="Arial" w:cs="Arial"/>
          <w:sz w:val="20"/>
          <w:lang w:val="de-DE"/>
        </w:rPr>
        <w:t>mit außergewöhnliche</w:t>
      </w:r>
      <w:r w:rsidR="00FE33C3">
        <w:rPr>
          <w:rFonts w:ascii="Arial" w:hAnsi="Arial" w:cs="Arial"/>
          <w:sz w:val="20"/>
          <w:lang w:val="de-DE"/>
        </w:rPr>
        <w:t>n</w:t>
      </w:r>
      <w:r w:rsidR="00FB2134">
        <w:rPr>
          <w:rFonts w:ascii="Arial" w:hAnsi="Arial" w:cs="Arial"/>
          <w:sz w:val="20"/>
          <w:lang w:val="de-DE"/>
        </w:rPr>
        <w:t xml:space="preserve"> Technologie</w:t>
      </w:r>
      <w:r w:rsidR="00FE33C3">
        <w:rPr>
          <w:rFonts w:ascii="Arial" w:hAnsi="Arial" w:cs="Arial"/>
          <w:sz w:val="20"/>
          <w:lang w:val="de-DE"/>
        </w:rPr>
        <w:t>n</w:t>
      </w:r>
      <w:r w:rsidR="00FB2134">
        <w:rPr>
          <w:rFonts w:ascii="Arial" w:hAnsi="Arial" w:cs="Arial"/>
          <w:sz w:val="20"/>
          <w:lang w:val="de-DE"/>
        </w:rPr>
        <w:t xml:space="preserve"> und </w:t>
      </w:r>
      <w:r w:rsidR="00FE33C3">
        <w:rPr>
          <w:rFonts w:ascii="Arial" w:hAnsi="Arial" w:cs="Arial"/>
          <w:sz w:val="20"/>
          <w:lang w:val="de-DE"/>
        </w:rPr>
        <w:t>Lösungen</w:t>
      </w:r>
      <w:r>
        <w:rPr>
          <w:rFonts w:ascii="Arial" w:hAnsi="Arial" w:cs="Arial"/>
          <w:sz w:val="20"/>
          <w:lang w:val="de-DE"/>
        </w:rPr>
        <w:t xml:space="preserve"> </w:t>
      </w:r>
      <w:r w:rsidR="00FE33C3">
        <w:rPr>
          <w:rFonts w:ascii="Arial" w:hAnsi="Arial" w:cs="Arial"/>
          <w:sz w:val="20"/>
          <w:lang w:val="de-DE"/>
        </w:rPr>
        <w:t>ein</w:t>
      </w:r>
      <w:r w:rsidR="00FB2134">
        <w:rPr>
          <w:rFonts w:ascii="Arial" w:hAnsi="Arial" w:cs="Arial"/>
          <w:sz w:val="20"/>
          <w:lang w:val="de-DE"/>
        </w:rPr>
        <w:t>, an</w:t>
      </w:r>
      <w:r w:rsidR="00262CC2">
        <w:rPr>
          <w:rFonts w:ascii="Arial" w:hAnsi="Arial" w:cs="Arial"/>
          <w:sz w:val="20"/>
          <w:lang w:val="de-DE"/>
        </w:rPr>
        <w:t xml:space="preserve"> den</w:t>
      </w:r>
      <w:r w:rsidR="00FB2134">
        <w:rPr>
          <w:rFonts w:ascii="Arial" w:hAnsi="Arial" w:cs="Arial"/>
          <w:sz w:val="20"/>
          <w:lang w:val="de-DE"/>
        </w:rPr>
        <w:t xml:space="preserve"> regionalen Wettbewerben teilzunehmen. </w:t>
      </w:r>
    </w:p>
    <w:p w14:paraId="52E12A71" w14:textId="232620EC" w:rsidR="00FB2134" w:rsidRPr="00FB2134" w:rsidRDefault="00FB2134" w:rsidP="00A8476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5A44B013" w14:textId="764D9664" w:rsidR="00A75E4C" w:rsidRDefault="00C20A14" w:rsidP="00A84761">
      <w:pPr>
        <w:pStyle w:val="Default"/>
        <w:jc w:val="both"/>
        <w:rPr>
          <w:rFonts w:ascii="Arial" w:hAnsi="Arial" w:cs="Arial"/>
          <w:sz w:val="20"/>
          <w:u w:val="single"/>
          <w:lang w:val="de-DE"/>
        </w:rPr>
      </w:pPr>
      <w:r w:rsidRPr="00C20A14">
        <w:rPr>
          <w:rFonts w:ascii="Arial" w:hAnsi="Arial" w:cs="Arial"/>
          <w:sz w:val="20"/>
          <w:u w:val="single"/>
          <w:lang w:val="de-DE"/>
        </w:rPr>
        <w:t xml:space="preserve">Prüfung </w:t>
      </w:r>
      <w:r>
        <w:rPr>
          <w:rFonts w:ascii="Arial" w:hAnsi="Arial" w:cs="Arial"/>
          <w:sz w:val="20"/>
          <w:u w:val="single"/>
          <w:lang w:val="de-DE"/>
        </w:rPr>
        <w:t>einer möglichen</w:t>
      </w:r>
      <w:r w:rsidRPr="00C20A14">
        <w:rPr>
          <w:rFonts w:ascii="Arial" w:hAnsi="Arial" w:cs="Arial"/>
          <w:sz w:val="20"/>
          <w:u w:val="single"/>
          <w:lang w:val="de-DE"/>
        </w:rPr>
        <w:t xml:space="preserve"> Zusammenarbeit nach dem Wettbewerb</w:t>
      </w:r>
    </w:p>
    <w:p w14:paraId="198F6926" w14:textId="1CB0569F" w:rsidR="00C20A14" w:rsidRPr="00C20A14" w:rsidRDefault="00C80AED" w:rsidP="00A84761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Die globalen </w:t>
      </w:r>
      <w:r w:rsidR="005C6DF7">
        <w:rPr>
          <w:rFonts w:ascii="Arial" w:hAnsi="Arial" w:cs="Arial"/>
          <w:sz w:val="20"/>
          <w:lang w:val="de-DE"/>
        </w:rPr>
        <w:t xml:space="preserve">Teams von </w:t>
      </w:r>
      <w:r w:rsidR="00C20A14">
        <w:rPr>
          <w:rFonts w:ascii="Arial" w:hAnsi="Arial" w:cs="Arial"/>
          <w:sz w:val="20"/>
          <w:lang w:val="de-DE"/>
        </w:rPr>
        <w:t xml:space="preserve">NTT DATA </w:t>
      </w:r>
      <w:r w:rsidR="005C6DF7">
        <w:rPr>
          <w:rFonts w:ascii="Arial" w:hAnsi="Arial" w:cs="Arial"/>
          <w:sz w:val="20"/>
          <w:lang w:val="de-DE"/>
        </w:rPr>
        <w:t>prüfen</w:t>
      </w:r>
      <w:r w:rsidR="00C20A14">
        <w:rPr>
          <w:rFonts w:ascii="Arial" w:hAnsi="Arial" w:cs="Arial"/>
          <w:sz w:val="20"/>
          <w:lang w:val="de-DE"/>
        </w:rPr>
        <w:t xml:space="preserve"> </w:t>
      </w:r>
      <w:r w:rsidR="00262CC2">
        <w:rPr>
          <w:rFonts w:ascii="Arial" w:hAnsi="Arial" w:cs="Arial"/>
          <w:sz w:val="20"/>
          <w:lang w:val="de-DE"/>
        </w:rPr>
        <w:t xml:space="preserve">nach dem Wettbewerb </w:t>
      </w:r>
      <w:r w:rsidR="00C20A14">
        <w:rPr>
          <w:rFonts w:ascii="Arial" w:hAnsi="Arial" w:cs="Arial"/>
          <w:sz w:val="20"/>
          <w:lang w:val="de-DE"/>
        </w:rPr>
        <w:t xml:space="preserve">eine mögliche Zusammenarbeit mit den </w:t>
      </w:r>
      <w:r w:rsidR="005C6DF7">
        <w:rPr>
          <w:rFonts w:ascii="Arial" w:hAnsi="Arial" w:cs="Arial"/>
          <w:sz w:val="20"/>
          <w:lang w:val="de-DE"/>
        </w:rPr>
        <w:t>Start-Ups</w:t>
      </w:r>
      <w:r w:rsidR="007653E3">
        <w:rPr>
          <w:rFonts w:ascii="Arial" w:hAnsi="Arial" w:cs="Arial"/>
          <w:sz w:val="20"/>
          <w:lang w:val="de-DE"/>
        </w:rPr>
        <w:t>.</w:t>
      </w:r>
      <w:r w:rsidR="00C20A14">
        <w:rPr>
          <w:rFonts w:ascii="Arial" w:hAnsi="Arial" w:cs="Arial"/>
          <w:sz w:val="20"/>
          <w:lang w:val="de-DE"/>
        </w:rPr>
        <w:t xml:space="preserve"> Anschließend </w:t>
      </w:r>
      <w:r w:rsidR="0049539D">
        <w:rPr>
          <w:rFonts w:ascii="Arial" w:hAnsi="Arial" w:cs="Arial"/>
          <w:sz w:val="20"/>
          <w:lang w:val="de-DE"/>
        </w:rPr>
        <w:t>treten</w:t>
      </w:r>
      <w:r w:rsidR="00C20A14">
        <w:rPr>
          <w:rFonts w:ascii="Arial" w:hAnsi="Arial" w:cs="Arial"/>
          <w:sz w:val="20"/>
          <w:lang w:val="de-DE"/>
        </w:rPr>
        <w:t xml:space="preserve"> sie mit ein</w:t>
      </w:r>
      <w:r w:rsidR="00164FB0">
        <w:rPr>
          <w:rFonts w:ascii="Arial" w:hAnsi="Arial" w:cs="Arial"/>
          <w:sz w:val="20"/>
          <w:lang w:val="de-DE"/>
        </w:rPr>
        <w:t>em</w:t>
      </w:r>
      <w:r w:rsidR="00C20A14">
        <w:rPr>
          <w:rFonts w:ascii="Arial" w:hAnsi="Arial" w:cs="Arial"/>
          <w:sz w:val="20"/>
          <w:lang w:val="de-DE"/>
        </w:rPr>
        <w:t xml:space="preserve"> Proof-of-Concept (PoC) und anderen Vorschlägen an die Kunden heran. NTT DATA stellt bis zu 100.000 US-Dollar zur Unterstützung</w:t>
      </w:r>
      <w:r w:rsidR="0049539D">
        <w:rPr>
          <w:rFonts w:ascii="Arial" w:hAnsi="Arial" w:cs="Arial"/>
          <w:sz w:val="20"/>
          <w:lang w:val="de-DE"/>
        </w:rPr>
        <w:t xml:space="preserve"> eines</w:t>
      </w:r>
      <w:r w:rsidR="00C20A14">
        <w:rPr>
          <w:rFonts w:ascii="Arial" w:hAnsi="Arial" w:cs="Arial"/>
          <w:sz w:val="20"/>
          <w:lang w:val="de-DE"/>
        </w:rPr>
        <w:t xml:space="preserve"> PoC bereit, um Kosten für Reisen, Betrieb und Hardware/Software zu decken. </w:t>
      </w:r>
    </w:p>
    <w:p w14:paraId="789D12E4" w14:textId="77777777" w:rsidR="00C20A14" w:rsidRPr="00C20A14" w:rsidRDefault="00C20A14" w:rsidP="002F251F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17ED68ED" w14:textId="5DAFA6FE" w:rsidR="00C42670" w:rsidRPr="00D007A0" w:rsidRDefault="00C42670" w:rsidP="005411BE">
      <w:pPr>
        <w:pStyle w:val="Default"/>
        <w:rPr>
          <w:rFonts w:ascii="Arial" w:hAnsi="Arial" w:cs="Arial"/>
          <w:sz w:val="20"/>
          <w:lang w:val="de-DE"/>
        </w:rPr>
      </w:pPr>
    </w:p>
    <w:p w14:paraId="36A6369D" w14:textId="5CD0F8E2" w:rsidR="00C20A14" w:rsidRDefault="00C446A1" w:rsidP="005411BE">
      <w:pPr>
        <w:pStyle w:val="Default"/>
        <w:numPr>
          <w:ilvl w:val="0"/>
          <w:numId w:val="16"/>
        </w:numPr>
        <w:ind w:left="1068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Anmeldebeginn:</w:t>
      </w:r>
      <w:r w:rsidR="00C20A14" w:rsidRPr="00C20A14">
        <w:rPr>
          <w:rFonts w:ascii="Arial" w:hAnsi="Arial" w:cs="Arial"/>
          <w:sz w:val="20"/>
          <w:lang w:val="de-DE"/>
        </w:rPr>
        <w:tab/>
      </w:r>
      <w:r w:rsidR="00C20A14" w:rsidRPr="00C20A14">
        <w:rPr>
          <w:rFonts w:ascii="Arial" w:hAnsi="Arial" w:cs="Arial"/>
          <w:sz w:val="20"/>
          <w:lang w:val="de-DE"/>
        </w:rPr>
        <w:tab/>
      </w:r>
      <w:r w:rsidR="005411BE">
        <w:rPr>
          <w:rFonts w:ascii="Arial" w:hAnsi="Arial" w:cs="Arial"/>
          <w:sz w:val="20"/>
          <w:lang w:val="de-DE"/>
        </w:rPr>
        <w:tab/>
      </w:r>
      <w:r w:rsidR="00C20A14" w:rsidRPr="00C20A14">
        <w:rPr>
          <w:rFonts w:ascii="Arial" w:hAnsi="Arial" w:cs="Arial"/>
          <w:sz w:val="20"/>
          <w:lang w:val="de-DE"/>
        </w:rPr>
        <w:t>Donnerstag, 06.08.2020, 08.00 U</w:t>
      </w:r>
      <w:r w:rsidR="00C20A14">
        <w:rPr>
          <w:rFonts w:ascii="Arial" w:hAnsi="Arial" w:cs="Arial"/>
          <w:sz w:val="20"/>
          <w:lang w:val="de-DE"/>
        </w:rPr>
        <w:t>hr</w:t>
      </w:r>
      <w:r w:rsidR="00272B6A">
        <w:rPr>
          <w:rFonts w:ascii="Arial" w:hAnsi="Arial" w:cs="Arial"/>
          <w:sz w:val="20"/>
          <w:lang w:val="de-DE"/>
        </w:rPr>
        <w:br/>
      </w:r>
    </w:p>
    <w:p w14:paraId="3D6813EB" w14:textId="57E8E020" w:rsidR="00272B6A" w:rsidRDefault="00C446A1" w:rsidP="00272B6A">
      <w:pPr>
        <w:pStyle w:val="Default"/>
        <w:numPr>
          <w:ilvl w:val="0"/>
          <w:numId w:val="16"/>
        </w:numPr>
        <w:ind w:left="1068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Anmeldeschluss:</w:t>
      </w:r>
      <w:r w:rsidR="002D605B">
        <w:rPr>
          <w:rFonts w:ascii="Arial" w:hAnsi="Arial" w:cs="Arial"/>
          <w:sz w:val="20"/>
          <w:lang w:val="de-DE"/>
        </w:rPr>
        <w:tab/>
      </w:r>
      <w:r w:rsidR="002D605B">
        <w:rPr>
          <w:rFonts w:ascii="Arial" w:hAnsi="Arial" w:cs="Arial"/>
          <w:sz w:val="20"/>
          <w:lang w:val="de-DE"/>
        </w:rPr>
        <w:tab/>
      </w:r>
      <w:r w:rsidR="005411BE">
        <w:rPr>
          <w:rFonts w:ascii="Arial" w:hAnsi="Arial" w:cs="Arial"/>
          <w:sz w:val="20"/>
          <w:lang w:val="de-DE"/>
        </w:rPr>
        <w:tab/>
      </w:r>
      <w:r w:rsidR="002D605B">
        <w:rPr>
          <w:rFonts w:ascii="Arial" w:hAnsi="Arial" w:cs="Arial"/>
          <w:sz w:val="20"/>
          <w:lang w:val="de-DE"/>
        </w:rPr>
        <w:t>Variiert je nach Gastgeberland</w:t>
      </w:r>
      <w:r w:rsidR="00272B6A">
        <w:rPr>
          <w:rFonts w:ascii="Arial" w:hAnsi="Arial" w:cs="Arial"/>
          <w:sz w:val="20"/>
          <w:lang w:val="de-DE"/>
        </w:rPr>
        <w:br/>
      </w:r>
    </w:p>
    <w:p w14:paraId="1C90A913" w14:textId="40F18188" w:rsidR="00272B6A" w:rsidRPr="00272B6A" w:rsidRDefault="00272B6A" w:rsidP="00272B6A">
      <w:pPr>
        <w:pStyle w:val="Default"/>
        <w:numPr>
          <w:ilvl w:val="0"/>
          <w:numId w:val="16"/>
        </w:numPr>
        <w:ind w:left="1068"/>
        <w:rPr>
          <w:rFonts w:ascii="Arial" w:hAnsi="Arial" w:cs="Arial"/>
          <w:sz w:val="20"/>
          <w:lang w:val="en-US"/>
        </w:rPr>
      </w:pPr>
      <w:r w:rsidRPr="00272B6A">
        <w:rPr>
          <w:rFonts w:ascii="Arial" w:eastAsia="MS PMincho" w:hAnsi="Arial" w:cs="Arial"/>
          <w:snapToGrid w:val="0"/>
          <w:sz w:val="20"/>
          <w:szCs w:val="20"/>
        </w:rPr>
        <w:t>Ansprechpartner D-A-CH:</w:t>
      </w:r>
      <w:r w:rsidRPr="00272B6A">
        <w:rPr>
          <w:rFonts w:ascii="Arial" w:eastAsia="MS PMincho" w:hAnsi="Arial" w:cs="Arial"/>
          <w:snapToGrid w:val="0"/>
          <w:sz w:val="20"/>
          <w:szCs w:val="20"/>
        </w:rPr>
        <w:tab/>
      </w:r>
      <w:r w:rsidRPr="00272B6A">
        <w:rPr>
          <w:rFonts w:ascii="Arial" w:eastAsia="MS PMincho" w:hAnsi="Arial" w:cs="Arial"/>
          <w:snapToGrid w:val="0"/>
          <w:sz w:val="20"/>
          <w:szCs w:val="20"/>
        </w:rPr>
        <w:tab/>
        <w:t xml:space="preserve">Christian Arnheiter, Executive Consultant &amp; </w:t>
      </w:r>
      <w:r w:rsidRPr="00272B6A">
        <w:rPr>
          <w:rFonts w:ascii="Arial" w:eastAsia="MS PMincho" w:hAnsi="Arial" w:cs="Arial"/>
          <w:snapToGrid w:val="0"/>
          <w:sz w:val="20"/>
          <w:szCs w:val="20"/>
        </w:rPr>
        <w:tab/>
      </w:r>
      <w:r w:rsidRPr="00272B6A">
        <w:rPr>
          <w:rFonts w:ascii="Arial" w:eastAsia="MS PMincho" w:hAnsi="Arial" w:cs="Arial"/>
          <w:snapToGrid w:val="0"/>
          <w:sz w:val="20"/>
          <w:szCs w:val="20"/>
        </w:rPr>
        <w:tab/>
      </w:r>
      <w:r w:rsidRPr="00272B6A">
        <w:rPr>
          <w:rFonts w:ascii="Arial" w:eastAsia="MS PMincho" w:hAnsi="Arial" w:cs="Arial"/>
          <w:snapToGrid w:val="0"/>
          <w:sz w:val="20"/>
          <w:szCs w:val="20"/>
        </w:rPr>
        <w:tab/>
      </w:r>
      <w:r w:rsidRPr="00272B6A">
        <w:rPr>
          <w:rFonts w:ascii="Arial" w:eastAsia="MS PMincho" w:hAnsi="Arial" w:cs="Arial"/>
          <w:snapToGrid w:val="0"/>
          <w:sz w:val="20"/>
          <w:szCs w:val="20"/>
        </w:rPr>
        <w:tab/>
      </w:r>
      <w:r w:rsidRPr="00272B6A">
        <w:rPr>
          <w:rFonts w:ascii="Arial" w:eastAsia="MS PMincho" w:hAnsi="Arial" w:cs="Arial"/>
          <w:snapToGrid w:val="0"/>
          <w:sz w:val="20"/>
          <w:szCs w:val="20"/>
        </w:rPr>
        <w:tab/>
      </w:r>
      <w:r w:rsidRPr="00272B6A">
        <w:rPr>
          <w:rFonts w:ascii="Arial" w:eastAsia="MS PMincho" w:hAnsi="Arial" w:cs="Arial"/>
          <w:snapToGrid w:val="0"/>
          <w:sz w:val="20"/>
          <w:szCs w:val="20"/>
        </w:rPr>
        <w:tab/>
        <w:t xml:space="preserve">Coordination </w:t>
      </w:r>
      <w:bookmarkStart w:id="1" w:name="_GoBack"/>
      <w:bookmarkEnd w:id="1"/>
      <w:r w:rsidRPr="00272B6A">
        <w:rPr>
          <w:rFonts w:ascii="Arial" w:eastAsia="MS PMincho" w:hAnsi="Arial" w:cs="Arial"/>
          <w:snapToGrid w:val="0"/>
          <w:sz w:val="20"/>
          <w:szCs w:val="20"/>
        </w:rPr>
        <w:t xml:space="preserve">Start-up </w:t>
      </w:r>
      <w:r w:rsidR="00A84761">
        <w:rPr>
          <w:rFonts w:ascii="Arial" w:eastAsia="MS PMincho" w:hAnsi="Arial" w:cs="Arial"/>
          <w:snapToGrid w:val="0"/>
          <w:sz w:val="20"/>
          <w:szCs w:val="20"/>
        </w:rPr>
        <w:t>I</w:t>
      </w:r>
      <w:r w:rsidRPr="00272B6A">
        <w:rPr>
          <w:rFonts w:ascii="Arial" w:eastAsia="MS PMincho" w:hAnsi="Arial" w:cs="Arial"/>
          <w:snapToGrid w:val="0"/>
          <w:sz w:val="20"/>
          <w:szCs w:val="20"/>
        </w:rPr>
        <w:t>n</w:t>
      </w:r>
      <w:r w:rsidR="00A84761">
        <w:rPr>
          <w:rFonts w:ascii="Arial" w:eastAsia="MS PMincho" w:hAnsi="Arial" w:cs="Arial"/>
          <w:snapToGrid w:val="0"/>
          <w:sz w:val="20"/>
          <w:szCs w:val="20"/>
        </w:rPr>
        <w:t>it</w:t>
      </w:r>
      <w:r w:rsidRPr="00272B6A">
        <w:rPr>
          <w:rFonts w:ascii="Arial" w:eastAsia="MS PMincho" w:hAnsi="Arial" w:cs="Arial"/>
          <w:snapToGrid w:val="0"/>
          <w:sz w:val="20"/>
          <w:szCs w:val="20"/>
        </w:rPr>
        <w:t>iative</w:t>
      </w:r>
      <w:r w:rsidRPr="00272B6A">
        <w:rPr>
          <w:rFonts w:ascii="Arial" w:eastAsia="MS PMincho" w:hAnsi="Arial" w:cs="Arial"/>
          <w:snapToGrid w:val="0"/>
          <w:sz w:val="20"/>
          <w:szCs w:val="20"/>
        </w:rPr>
        <w:br/>
      </w:r>
      <w:r w:rsidRPr="00272B6A">
        <w:rPr>
          <w:rFonts w:ascii="Arial" w:eastAsia="MS PMincho" w:hAnsi="Arial" w:cs="Arial"/>
          <w:snapToGrid w:val="0"/>
          <w:sz w:val="20"/>
          <w:szCs w:val="20"/>
        </w:rPr>
        <w:tab/>
      </w:r>
      <w:r w:rsidRPr="00272B6A">
        <w:rPr>
          <w:rFonts w:ascii="Arial" w:eastAsia="MS PMincho" w:hAnsi="Arial" w:cs="Arial"/>
          <w:snapToGrid w:val="0"/>
          <w:sz w:val="20"/>
          <w:szCs w:val="20"/>
        </w:rPr>
        <w:tab/>
      </w:r>
      <w:r w:rsidRPr="00272B6A">
        <w:rPr>
          <w:rFonts w:ascii="Arial" w:eastAsia="MS PMincho" w:hAnsi="Arial" w:cs="Arial"/>
          <w:snapToGrid w:val="0"/>
          <w:sz w:val="20"/>
          <w:szCs w:val="20"/>
        </w:rPr>
        <w:tab/>
      </w:r>
      <w:r w:rsidRPr="00272B6A">
        <w:rPr>
          <w:rFonts w:ascii="Arial" w:eastAsia="MS PMincho" w:hAnsi="Arial" w:cs="Arial"/>
          <w:snapToGrid w:val="0"/>
          <w:sz w:val="20"/>
          <w:szCs w:val="20"/>
        </w:rPr>
        <w:tab/>
      </w:r>
      <w:r w:rsidRPr="00272B6A">
        <w:rPr>
          <w:rFonts w:ascii="Arial" w:eastAsia="MS PMincho" w:hAnsi="Arial" w:cs="Arial"/>
          <w:snapToGrid w:val="0"/>
          <w:sz w:val="20"/>
          <w:szCs w:val="20"/>
        </w:rPr>
        <w:tab/>
        <w:t>christian.arnheiter@nttdata.com</w:t>
      </w:r>
    </w:p>
    <w:p w14:paraId="168F692A" w14:textId="77777777" w:rsidR="00C446A1" w:rsidRDefault="002D605B" w:rsidP="005411BE">
      <w:pPr>
        <w:pStyle w:val="Default"/>
        <w:numPr>
          <w:ilvl w:val="0"/>
          <w:numId w:val="16"/>
        </w:numPr>
        <w:ind w:left="1068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Gastgeberländer der </w:t>
      </w:r>
    </w:p>
    <w:p w14:paraId="46AC4C9E" w14:textId="75A6D726" w:rsidR="00C446A1" w:rsidRDefault="002D605B" w:rsidP="005411BE">
      <w:pPr>
        <w:pStyle w:val="Default"/>
        <w:ind w:left="3888" w:hanging="282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regionalen </w:t>
      </w:r>
      <w:r w:rsidRPr="00C446A1">
        <w:rPr>
          <w:rFonts w:ascii="Arial" w:hAnsi="Arial" w:cs="Arial"/>
          <w:sz w:val="20"/>
          <w:lang w:val="de-DE"/>
        </w:rPr>
        <w:t>Wettbewerbe:</w:t>
      </w:r>
      <w:r w:rsidR="005411BE">
        <w:rPr>
          <w:rFonts w:ascii="Arial" w:hAnsi="Arial" w:cs="Arial"/>
          <w:sz w:val="20"/>
          <w:lang w:val="de-DE"/>
        </w:rPr>
        <w:tab/>
      </w:r>
      <w:r w:rsidR="005411BE">
        <w:rPr>
          <w:rFonts w:ascii="Arial" w:hAnsi="Arial" w:cs="Arial"/>
          <w:sz w:val="20"/>
          <w:lang w:val="de-DE"/>
        </w:rPr>
        <w:tab/>
      </w:r>
      <w:r w:rsidR="00C446A1">
        <w:rPr>
          <w:rFonts w:ascii="Arial" w:hAnsi="Arial" w:cs="Arial"/>
          <w:sz w:val="20"/>
          <w:lang w:val="de-DE"/>
        </w:rPr>
        <w:t>Wie folgt, Stand 06.08.2020.</w:t>
      </w:r>
    </w:p>
    <w:p w14:paraId="27172075" w14:textId="1C98C2E5" w:rsidR="00C446A1" w:rsidRDefault="00C446A1" w:rsidP="005411BE">
      <w:pPr>
        <w:pStyle w:val="Default"/>
        <w:ind w:left="3888" w:hanging="282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</w:r>
      <w:r w:rsidR="005411BE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>Änderungen sind vorbehalten.</w:t>
      </w:r>
    </w:p>
    <w:p w14:paraId="586C148E" w14:textId="45FDE897" w:rsidR="00262CC2" w:rsidRDefault="00C446A1" w:rsidP="005411BE">
      <w:pPr>
        <w:pStyle w:val="Default"/>
        <w:ind w:left="3888" w:hanging="2820"/>
        <w:rPr>
          <w:rFonts w:ascii="Arial" w:eastAsia="MS PMincho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lang w:val="de-DE"/>
        </w:rPr>
        <w:tab/>
      </w:r>
      <w:r w:rsidR="005411BE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 xml:space="preserve">Einzelheiten zu den regionalen Wettbewerben </w:t>
      </w:r>
      <w:r w:rsidR="005411BE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 xml:space="preserve">finden Sie hier: </w:t>
      </w:r>
      <w:hyperlink r:id="rId9" w:history="1">
        <w:r w:rsidR="00262CC2" w:rsidRPr="00015B28">
          <w:rPr>
            <w:rStyle w:val="Hyperlink"/>
            <w:rFonts w:ascii="Arial" w:eastAsia="MS PMincho" w:hAnsi="Arial" w:cs="Arial"/>
            <w:snapToGrid w:val="0"/>
            <w:sz w:val="20"/>
            <w:szCs w:val="20"/>
          </w:rPr>
          <w:t>https://oi.nttdata.com/en/contest</w:t>
        </w:r>
      </w:hyperlink>
    </w:p>
    <w:p w14:paraId="523D3AB1" w14:textId="77777777" w:rsidR="00262CC2" w:rsidRPr="00262CC2" w:rsidRDefault="00262CC2" w:rsidP="00262CC2">
      <w:pPr>
        <w:pStyle w:val="Default"/>
        <w:ind w:left="3540" w:hanging="2820"/>
        <w:jc w:val="both"/>
        <w:rPr>
          <w:rFonts w:ascii="Arial" w:eastAsia="MS PMincho" w:hAnsi="Arial" w:cs="Arial"/>
          <w:snapToGrid w:val="0"/>
          <w:color w:val="0000FF" w:themeColor="hyperlink"/>
          <w:sz w:val="20"/>
          <w:szCs w:val="20"/>
          <w:u w:val="single"/>
        </w:rPr>
      </w:pPr>
    </w:p>
    <w:p w14:paraId="4B94F559" w14:textId="165B2A9D" w:rsidR="00C42670" w:rsidRPr="00A84761" w:rsidRDefault="00C42670" w:rsidP="002F251F">
      <w:pPr>
        <w:pStyle w:val="Default"/>
        <w:jc w:val="both"/>
        <w:rPr>
          <w:rFonts w:ascii="Arial" w:hAnsi="Arial" w:cs="Arial"/>
          <w:sz w:val="20"/>
          <w:lang w:val="de-DE"/>
        </w:rPr>
      </w:pPr>
    </w:p>
    <w:tbl>
      <w:tblPr>
        <w:tblStyle w:val="Tabellenraster"/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45B2F" w14:paraId="58AFF05E" w14:textId="77777777" w:rsidTr="00B45B2F">
        <w:tc>
          <w:tcPr>
            <w:tcW w:w="4247" w:type="dxa"/>
          </w:tcPr>
          <w:p w14:paraId="0A4374E4" w14:textId="77777777" w:rsidR="00B45B2F" w:rsidRDefault="00B45B2F" w:rsidP="00B45B2F">
            <w:pPr>
              <w:pStyle w:val="Default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Region</w:t>
            </w:r>
          </w:p>
        </w:tc>
        <w:tc>
          <w:tcPr>
            <w:tcW w:w="4247" w:type="dxa"/>
          </w:tcPr>
          <w:p w14:paraId="58E8090C" w14:textId="77777777" w:rsidR="00B45B2F" w:rsidRDefault="00B45B2F" w:rsidP="00B45B2F">
            <w:pPr>
              <w:pStyle w:val="Default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Länder</w:t>
            </w:r>
          </w:p>
        </w:tc>
      </w:tr>
      <w:tr w:rsidR="00B45B2F" w14:paraId="23F749BD" w14:textId="77777777" w:rsidTr="00B45B2F">
        <w:tc>
          <w:tcPr>
            <w:tcW w:w="4247" w:type="dxa"/>
          </w:tcPr>
          <w:p w14:paraId="70A52C46" w14:textId="77777777" w:rsidR="00B45B2F" w:rsidRDefault="00B45B2F" w:rsidP="00B45B2F">
            <w:pPr>
              <w:pStyle w:val="Default"/>
              <w:jc w:val="both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Asien/Ozeanien</w:t>
            </w:r>
          </w:p>
        </w:tc>
        <w:tc>
          <w:tcPr>
            <w:tcW w:w="4247" w:type="dxa"/>
          </w:tcPr>
          <w:p w14:paraId="0BA06960" w14:textId="77777777" w:rsidR="00B45B2F" w:rsidRDefault="00B45B2F" w:rsidP="00B45B2F">
            <w:pPr>
              <w:pStyle w:val="Default"/>
              <w:jc w:val="both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Japan</w:t>
            </w:r>
          </w:p>
        </w:tc>
      </w:tr>
      <w:tr w:rsidR="00B45B2F" w:rsidRPr="00A730B2" w14:paraId="4CC9DB4A" w14:textId="77777777" w:rsidTr="00B45B2F">
        <w:tc>
          <w:tcPr>
            <w:tcW w:w="4247" w:type="dxa"/>
          </w:tcPr>
          <w:p w14:paraId="60D4A489" w14:textId="77777777" w:rsidR="00B45B2F" w:rsidRDefault="00B45B2F" w:rsidP="00B45B2F">
            <w:pPr>
              <w:pStyle w:val="Default"/>
              <w:jc w:val="both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Europa/Naher Osten</w:t>
            </w:r>
          </w:p>
        </w:tc>
        <w:tc>
          <w:tcPr>
            <w:tcW w:w="4247" w:type="dxa"/>
          </w:tcPr>
          <w:p w14:paraId="58B9038B" w14:textId="55D5D5FC" w:rsidR="00B45B2F" w:rsidRDefault="00716D6A" w:rsidP="00B45B2F">
            <w:pPr>
              <w:pStyle w:val="Default"/>
              <w:jc w:val="both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Deutschland, Österreich, Schweiz, </w:t>
            </w:r>
            <w:r w:rsidR="00B45B2F">
              <w:rPr>
                <w:rFonts w:ascii="Arial" w:hAnsi="Arial" w:cs="Arial"/>
                <w:sz w:val="20"/>
                <w:lang w:val="de-DE"/>
              </w:rPr>
              <w:t>Italien, Spanien, Portugal, Israel</w:t>
            </w:r>
            <w:r>
              <w:rPr>
                <w:rFonts w:ascii="Arial" w:hAnsi="Arial" w:cs="Arial"/>
                <w:sz w:val="20"/>
                <w:lang w:val="de-DE"/>
              </w:rPr>
              <w:t>, UK</w:t>
            </w:r>
          </w:p>
        </w:tc>
      </w:tr>
      <w:tr w:rsidR="00B45B2F" w14:paraId="6C8311D6" w14:textId="77777777" w:rsidTr="00B45B2F">
        <w:tc>
          <w:tcPr>
            <w:tcW w:w="4247" w:type="dxa"/>
          </w:tcPr>
          <w:p w14:paraId="76EE8005" w14:textId="77777777" w:rsidR="00B45B2F" w:rsidRDefault="00B45B2F" w:rsidP="00B45B2F">
            <w:pPr>
              <w:pStyle w:val="Default"/>
              <w:jc w:val="both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Nordamerika</w:t>
            </w:r>
          </w:p>
        </w:tc>
        <w:tc>
          <w:tcPr>
            <w:tcW w:w="4247" w:type="dxa"/>
          </w:tcPr>
          <w:p w14:paraId="36B22D5D" w14:textId="77777777" w:rsidR="00B45B2F" w:rsidRDefault="00B45B2F" w:rsidP="00B45B2F">
            <w:pPr>
              <w:pStyle w:val="Default"/>
              <w:jc w:val="both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Vereinigte Staaten</w:t>
            </w:r>
          </w:p>
        </w:tc>
      </w:tr>
      <w:tr w:rsidR="00B45B2F" w14:paraId="0EE97B20" w14:textId="77777777" w:rsidTr="00B45B2F">
        <w:tc>
          <w:tcPr>
            <w:tcW w:w="4247" w:type="dxa"/>
          </w:tcPr>
          <w:p w14:paraId="7B5042C3" w14:textId="77777777" w:rsidR="00B45B2F" w:rsidRDefault="00B45B2F" w:rsidP="00B45B2F">
            <w:pPr>
              <w:pStyle w:val="Default"/>
              <w:jc w:val="both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Südamerika</w:t>
            </w:r>
          </w:p>
        </w:tc>
        <w:tc>
          <w:tcPr>
            <w:tcW w:w="4247" w:type="dxa"/>
          </w:tcPr>
          <w:p w14:paraId="511E3524" w14:textId="77777777" w:rsidR="00B45B2F" w:rsidRDefault="00B45B2F" w:rsidP="00B45B2F">
            <w:pPr>
              <w:pStyle w:val="Default"/>
              <w:jc w:val="both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Brasilien, Peru, Chile</w:t>
            </w:r>
          </w:p>
        </w:tc>
      </w:tr>
    </w:tbl>
    <w:p w14:paraId="427E7671" w14:textId="0892A9BE" w:rsidR="007C17A5" w:rsidRDefault="007C17A5" w:rsidP="002F251F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7D868595" w14:textId="77777777" w:rsidR="007C17A5" w:rsidRPr="00C20A14" w:rsidRDefault="007C17A5" w:rsidP="002F251F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74DC5C03" w14:textId="15DF544B" w:rsidR="00C42670" w:rsidRPr="00716D6A" w:rsidRDefault="00B45B2F" w:rsidP="005411BE">
      <w:pPr>
        <w:pStyle w:val="Default"/>
        <w:numPr>
          <w:ilvl w:val="0"/>
          <w:numId w:val="16"/>
        </w:numPr>
        <w:ind w:left="360"/>
        <w:jc w:val="both"/>
        <w:rPr>
          <w:rFonts w:ascii="Arial" w:hAnsi="Arial" w:cs="Arial"/>
          <w:b/>
          <w:sz w:val="20"/>
          <w:lang w:val="de-DE"/>
        </w:rPr>
      </w:pPr>
      <w:r w:rsidRPr="00716D6A">
        <w:rPr>
          <w:rFonts w:ascii="Arial" w:hAnsi="Arial" w:cs="Arial"/>
          <w:b/>
          <w:sz w:val="20"/>
          <w:lang w:val="de-DE"/>
        </w:rPr>
        <w:t>Themen des Wettbewerbs:</w:t>
      </w:r>
    </w:p>
    <w:p w14:paraId="17CFDF1B" w14:textId="077F0A9A" w:rsidR="00B45B2F" w:rsidRDefault="00B45B2F" w:rsidP="005411BE">
      <w:pPr>
        <w:pStyle w:val="Default"/>
        <w:ind w:left="360"/>
        <w:jc w:val="both"/>
        <w:rPr>
          <w:rFonts w:ascii="Arial" w:hAnsi="Arial" w:cs="Arial"/>
          <w:sz w:val="20"/>
          <w:lang w:val="de-DE"/>
        </w:rPr>
      </w:pPr>
      <w:r w:rsidRPr="00B45B2F">
        <w:rPr>
          <w:rFonts w:ascii="Arial" w:hAnsi="Arial" w:cs="Arial"/>
          <w:sz w:val="20"/>
          <w:lang w:val="en-GB"/>
        </w:rPr>
        <w:t>Smart City, Digital Healthcare u</w:t>
      </w:r>
      <w:r>
        <w:rPr>
          <w:rFonts w:ascii="Arial" w:hAnsi="Arial" w:cs="Arial"/>
          <w:sz w:val="20"/>
          <w:lang w:val="en-GB"/>
        </w:rPr>
        <w:t xml:space="preserve">nd Exponential Technology. </w:t>
      </w:r>
      <w:r w:rsidRPr="00B45B2F">
        <w:rPr>
          <w:rFonts w:ascii="Arial" w:hAnsi="Arial" w:cs="Arial"/>
          <w:sz w:val="20"/>
          <w:lang w:val="de-DE"/>
        </w:rPr>
        <w:t>Je nach Geschäftsinteressen</w:t>
      </w:r>
      <w:r w:rsidR="0049539D">
        <w:rPr>
          <w:rFonts w:ascii="Arial" w:hAnsi="Arial" w:cs="Arial"/>
          <w:sz w:val="20"/>
          <w:lang w:val="de-DE"/>
        </w:rPr>
        <w:t xml:space="preserve"> der</w:t>
      </w:r>
      <w:r>
        <w:rPr>
          <w:rFonts w:ascii="Arial" w:hAnsi="Arial" w:cs="Arial"/>
          <w:sz w:val="20"/>
          <w:lang w:val="de-DE"/>
        </w:rPr>
        <w:t xml:space="preserve"> jeweiligen Regionen können zusätzliche </w:t>
      </w:r>
      <w:r w:rsidR="005F4C5E">
        <w:rPr>
          <w:rFonts w:ascii="Arial" w:hAnsi="Arial" w:cs="Arial"/>
          <w:sz w:val="20"/>
          <w:lang w:val="de-DE"/>
        </w:rPr>
        <w:t>Themen</w:t>
      </w:r>
      <w:r>
        <w:rPr>
          <w:rFonts w:ascii="Arial" w:hAnsi="Arial" w:cs="Arial"/>
          <w:sz w:val="20"/>
          <w:lang w:val="de-DE"/>
        </w:rPr>
        <w:t xml:space="preserve"> festgelegt werden. </w:t>
      </w:r>
      <w:r w:rsidR="00716D6A">
        <w:rPr>
          <w:rFonts w:ascii="Arial" w:hAnsi="Arial" w:cs="Arial"/>
          <w:sz w:val="20"/>
          <w:lang w:val="de-DE"/>
        </w:rPr>
        <w:br/>
      </w:r>
    </w:p>
    <w:p w14:paraId="4C2012B1" w14:textId="1FE3E832" w:rsidR="00B45B2F" w:rsidRDefault="00B45B2F" w:rsidP="005411BE">
      <w:pPr>
        <w:pStyle w:val="Default"/>
        <w:numPr>
          <w:ilvl w:val="0"/>
          <w:numId w:val="16"/>
        </w:numPr>
        <w:ind w:left="360"/>
        <w:jc w:val="both"/>
        <w:rPr>
          <w:rFonts w:ascii="Arial" w:hAnsi="Arial" w:cs="Arial"/>
          <w:sz w:val="20"/>
          <w:lang w:val="de-DE"/>
        </w:rPr>
      </w:pPr>
      <w:r w:rsidRPr="00716D6A">
        <w:rPr>
          <w:rFonts w:ascii="Arial" w:hAnsi="Arial" w:cs="Arial"/>
          <w:b/>
          <w:sz w:val="20"/>
          <w:lang w:val="de-DE"/>
        </w:rPr>
        <w:t>Zeitplan</w:t>
      </w:r>
      <w:r>
        <w:rPr>
          <w:rFonts w:ascii="Arial" w:hAnsi="Arial" w:cs="Arial"/>
          <w:sz w:val="20"/>
          <w:lang w:val="de-DE"/>
        </w:rPr>
        <w:t>:</w:t>
      </w:r>
    </w:p>
    <w:p w14:paraId="054F9451" w14:textId="3BC01D9A" w:rsidR="00B45B2F" w:rsidRDefault="00716D6A" w:rsidP="005411BE">
      <w:pPr>
        <w:pStyle w:val="Default"/>
        <w:ind w:left="360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Die Bewerbungsfrist begann</w:t>
      </w:r>
      <w:r w:rsidR="00B45B2F" w:rsidRPr="00B45B2F">
        <w:rPr>
          <w:rFonts w:ascii="Arial" w:hAnsi="Arial" w:cs="Arial"/>
          <w:sz w:val="20"/>
          <w:lang w:val="de-DE"/>
        </w:rPr>
        <w:t xml:space="preserve"> am </w:t>
      </w:r>
      <w:r w:rsidR="00B45B2F">
        <w:rPr>
          <w:rFonts w:ascii="Arial" w:hAnsi="Arial" w:cs="Arial"/>
          <w:sz w:val="20"/>
          <w:lang w:val="de-DE"/>
        </w:rPr>
        <w:t>0</w:t>
      </w:r>
      <w:r w:rsidR="00B45B2F" w:rsidRPr="00B45B2F">
        <w:rPr>
          <w:rFonts w:ascii="Arial" w:hAnsi="Arial" w:cs="Arial"/>
          <w:sz w:val="20"/>
          <w:lang w:val="de-DE"/>
        </w:rPr>
        <w:t xml:space="preserve">6. August, wobei </w:t>
      </w:r>
      <w:r w:rsidR="005F4C5E">
        <w:rPr>
          <w:rFonts w:ascii="Arial" w:hAnsi="Arial" w:cs="Arial"/>
          <w:sz w:val="20"/>
          <w:lang w:val="de-DE"/>
        </w:rPr>
        <w:t>der Anmeldeschluss</w:t>
      </w:r>
      <w:r w:rsidR="00B45B2F" w:rsidRPr="00B45B2F">
        <w:rPr>
          <w:rFonts w:ascii="Arial" w:hAnsi="Arial" w:cs="Arial"/>
          <w:sz w:val="20"/>
          <w:lang w:val="de-DE"/>
        </w:rPr>
        <w:t xml:space="preserve"> je nach Gastland unterschiedlich ist. Im Anschluss an die regionalen Wettbewerbe werden die siegreichen Unternehmen aus jeder Region zur Teilnahme am </w:t>
      </w:r>
      <w:r w:rsidR="00977A49">
        <w:rPr>
          <w:rFonts w:ascii="Arial" w:hAnsi="Arial" w:cs="Arial"/>
          <w:sz w:val="20"/>
          <w:lang w:val="de-DE"/>
        </w:rPr>
        <w:t>große</w:t>
      </w:r>
      <w:r w:rsidR="00B45B2F" w:rsidRPr="00B45B2F">
        <w:rPr>
          <w:rFonts w:ascii="Arial" w:hAnsi="Arial" w:cs="Arial"/>
          <w:sz w:val="20"/>
          <w:lang w:val="de-DE"/>
        </w:rPr>
        <w:t>n Finale eingeladen, das im Januar 2021 stattfin</w:t>
      </w:r>
      <w:r w:rsidR="005F4C5E">
        <w:rPr>
          <w:rFonts w:ascii="Arial" w:hAnsi="Arial" w:cs="Arial"/>
          <w:sz w:val="20"/>
          <w:lang w:val="de-DE"/>
        </w:rPr>
        <w:t>det</w:t>
      </w:r>
      <w:r w:rsidR="00B45B2F" w:rsidRPr="00B45B2F">
        <w:rPr>
          <w:rFonts w:ascii="Arial" w:hAnsi="Arial" w:cs="Arial"/>
          <w:sz w:val="20"/>
          <w:lang w:val="de-DE"/>
        </w:rPr>
        <w:t>.</w:t>
      </w:r>
    </w:p>
    <w:p w14:paraId="476F3C3E" w14:textId="7898AFB5" w:rsidR="00977A49" w:rsidRPr="00977A49" w:rsidRDefault="00977A49" w:rsidP="00272B6A">
      <w:pPr>
        <w:spacing w:before="0" w:after="200" w:line="276" w:lineRule="auto"/>
        <w:jc w:val="center"/>
        <w:rPr>
          <w:rFonts w:cs="Arial"/>
          <w:color w:val="000000" w:themeColor="text1"/>
          <w:szCs w:val="20"/>
          <w:lang w:val="de-DE"/>
        </w:rPr>
      </w:pPr>
      <w:r>
        <w:rPr>
          <w:rFonts w:cs="Arial"/>
          <w:noProof/>
          <w:lang w:val="de-DE"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24257843" wp14:editId="21C78230">
            <wp:simplePos x="0" y="0"/>
            <wp:positionH relativeFrom="page">
              <wp:align>center</wp:align>
            </wp:positionH>
            <wp:positionV relativeFrom="margin">
              <wp:posOffset>-386715</wp:posOffset>
            </wp:positionV>
            <wp:extent cx="5400040" cy="1591310"/>
            <wp:effectExtent l="0" t="0" r="0" b="889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D6A">
        <w:rPr>
          <w:rFonts w:cs="Arial"/>
          <w:color w:val="000000" w:themeColor="text1"/>
          <w:szCs w:val="20"/>
          <w:lang w:val="de-DE"/>
        </w:rPr>
        <w:t>Abb</w:t>
      </w:r>
      <w:r>
        <w:rPr>
          <w:rFonts w:cs="Arial"/>
          <w:color w:val="000000" w:themeColor="text1"/>
          <w:szCs w:val="20"/>
          <w:lang w:val="de-DE"/>
        </w:rPr>
        <w:t>.2: Zeitplan</w:t>
      </w:r>
      <w:r w:rsidR="00262CC2">
        <w:rPr>
          <w:rFonts w:cs="Arial"/>
          <w:color w:val="000000" w:themeColor="text1"/>
          <w:szCs w:val="20"/>
          <w:lang w:val="de-DE"/>
        </w:rPr>
        <w:t xml:space="preserve"> am Beispiel des Tokyo Regional Contest</w:t>
      </w:r>
    </w:p>
    <w:p w14:paraId="26AAAFCB" w14:textId="4F3E5592" w:rsidR="00977A49" w:rsidRPr="00977A49" w:rsidRDefault="00977A49" w:rsidP="00A84761">
      <w:pPr>
        <w:pStyle w:val="Listenabsatz"/>
        <w:numPr>
          <w:ilvl w:val="0"/>
          <w:numId w:val="16"/>
        </w:numPr>
        <w:spacing w:before="0" w:after="200" w:line="276" w:lineRule="auto"/>
        <w:jc w:val="both"/>
        <w:rPr>
          <w:rFonts w:cs="Arial"/>
          <w:b/>
          <w:bCs/>
          <w:color w:val="000000" w:themeColor="text1"/>
          <w:sz w:val="22"/>
          <w:lang w:val="de-DE"/>
        </w:rPr>
      </w:pPr>
      <w:r>
        <w:rPr>
          <w:rFonts w:cs="Arial"/>
          <w:color w:val="000000" w:themeColor="text1"/>
          <w:szCs w:val="20"/>
          <w:lang w:val="de-DE"/>
        </w:rPr>
        <w:t>Wettbewerbsdetails und Bewerbungsverfahren:</w:t>
      </w:r>
    </w:p>
    <w:p w14:paraId="0297D070" w14:textId="07879E48" w:rsidR="00977A49" w:rsidRPr="00977A49" w:rsidRDefault="00977A49" w:rsidP="00A84761">
      <w:pPr>
        <w:pStyle w:val="Listenabsatz"/>
        <w:spacing w:before="0" w:after="200" w:line="276" w:lineRule="auto"/>
        <w:jc w:val="both"/>
        <w:rPr>
          <w:rFonts w:cs="Arial"/>
          <w:color w:val="000000" w:themeColor="text1"/>
          <w:szCs w:val="20"/>
          <w:lang w:val="de-DE"/>
        </w:rPr>
      </w:pPr>
      <w:r w:rsidRPr="00977A49">
        <w:rPr>
          <w:rFonts w:cs="Arial"/>
          <w:color w:val="000000" w:themeColor="text1"/>
          <w:szCs w:val="20"/>
          <w:lang w:val="de-DE"/>
        </w:rPr>
        <w:t>Bewerbungen können nur über die Website eingereicht werden. Die Wettbewerbsdetails können ohne</w:t>
      </w:r>
      <w:r>
        <w:rPr>
          <w:rFonts w:cs="Arial"/>
          <w:color w:val="000000" w:themeColor="text1"/>
          <w:szCs w:val="20"/>
          <w:lang w:val="de-DE"/>
        </w:rPr>
        <w:t xml:space="preserve"> vorherige Ankündigung</w:t>
      </w:r>
      <w:r w:rsidRPr="00977A49">
        <w:rPr>
          <w:rFonts w:cs="Arial"/>
          <w:color w:val="000000" w:themeColor="text1"/>
          <w:szCs w:val="20"/>
          <w:lang w:val="de-DE"/>
        </w:rPr>
        <w:t xml:space="preserve"> geändert werden. Bitte prüfen Sie daher die offizielle Website</w:t>
      </w:r>
      <w:r>
        <w:rPr>
          <w:rFonts w:cs="Arial"/>
          <w:color w:val="000000" w:themeColor="text1"/>
          <w:szCs w:val="20"/>
          <w:lang w:val="de-DE"/>
        </w:rPr>
        <w:t>:</w:t>
      </w:r>
      <w:r w:rsidRPr="00977A49">
        <w:rPr>
          <w:rFonts w:cs="Arial"/>
          <w:color w:val="000000" w:themeColor="text1"/>
          <w:szCs w:val="20"/>
          <w:lang w:val="de-DE"/>
        </w:rPr>
        <w:t xml:space="preserve"> </w:t>
      </w:r>
      <w:hyperlink r:id="rId11" w:history="1">
        <w:r w:rsidRPr="00977A49">
          <w:rPr>
            <w:rStyle w:val="Hyperlink"/>
            <w:rFonts w:eastAsia="MS PMincho" w:cs="Arial"/>
            <w:bCs/>
            <w:snapToGrid w:val="0"/>
            <w:szCs w:val="20"/>
            <w:lang w:val="de-DE"/>
          </w:rPr>
          <w:t>https://oi.nttdata.com/en/contest/</w:t>
        </w:r>
      </w:hyperlink>
      <w:r w:rsidRPr="00977A49">
        <w:rPr>
          <w:rFonts w:eastAsia="MS PMincho" w:cs="Arial"/>
          <w:bCs/>
          <w:snapToGrid w:val="0"/>
          <w:szCs w:val="20"/>
          <w:lang w:val="de-DE"/>
        </w:rPr>
        <w:t xml:space="preserve"> </w:t>
      </w:r>
      <w:r w:rsidRPr="005F4C5E">
        <w:rPr>
          <w:rFonts w:eastAsia="MS PMincho" w:cs="Arial"/>
          <w:bCs/>
          <w:snapToGrid w:val="0"/>
          <w:color w:val="auto"/>
          <w:szCs w:val="20"/>
          <w:lang w:val="de-DE"/>
        </w:rPr>
        <w:t>(</w:t>
      </w:r>
      <w:r w:rsidR="005411BE">
        <w:rPr>
          <w:rFonts w:eastAsia="MS PMincho" w:cs="Arial"/>
          <w:bCs/>
          <w:snapToGrid w:val="0"/>
          <w:color w:val="auto"/>
          <w:szCs w:val="20"/>
          <w:lang w:val="de-DE"/>
        </w:rPr>
        <w:t xml:space="preserve">in </w:t>
      </w:r>
      <w:r w:rsidRPr="005F4C5E">
        <w:rPr>
          <w:rFonts w:eastAsia="MS PMincho" w:cs="Arial"/>
          <w:bCs/>
          <w:snapToGrid w:val="0"/>
          <w:color w:val="auto"/>
          <w:szCs w:val="20"/>
          <w:lang w:val="de-DE"/>
        </w:rPr>
        <w:t>Englisch).</w:t>
      </w:r>
    </w:p>
    <w:p w14:paraId="59F00773" w14:textId="77777777" w:rsidR="00977A49" w:rsidRDefault="00977A49">
      <w:pPr>
        <w:spacing w:before="0" w:after="200" w:line="276" w:lineRule="auto"/>
        <w:jc w:val="both"/>
        <w:rPr>
          <w:rFonts w:cs="Arial"/>
          <w:b/>
          <w:bCs/>
          <w:color w:val="000000" w:themeColor="text1"/>
          <w:sz w:val="22"/>
          <w:lang w:val="de-DE"/>
        </w:rPr>
      </w:pPr>
    </w:p>
    <w:p w14:paraId="3C227237" w14:textId="20AAF7C5" w:rsidR="00D82B4D" w:rsidRPr="00716D6A" w:rsidRDefault="00A53BEE">
      <w:pPr>
        <w:spacing w:before="0" w:after="200" w:line="276" w:lineRule="auto"/>
        <w:jc w:val="both"/>
        <w:rPr>
          <w:rFonts w:cs="Arial"/>
          <w:b/>
          <w:bCs/>
          <w:color w:val="000000" w:themeColor="text1"/>
          <w:szCs w:val="20"/>
          <w:lang w:val="de-DE"/>
        </w:rPr>
      </w:pPr>
      <w:r w:rsidRPr="00716D6A">
        <w:rPr>
          <w:rFonts w:cs="Arial"/>
          <w:b/>
          <w:bCs/>
          <w:color w:val="000000" w:themeColor="text1"/>
          <w:szCs w:val="20"/>
          <w:lang w:val="de-DE"/>
        </w:rPr>
        <w:t>Über NTT DATA</w:t>
      </w:r>
    </w:p>
    <w:p w14:paraId="0B8BFE52" w14:textId="620845EE" w:rsidR="00530A00" w:rsidRPr="00716D6A" w:rsidRDefault="00530A00" w:rsidP="00A84761">
      <w:pPr>
        <w:pStyle w:val="StandardWeb"/>
        <w:jc w:val="both"/>
        <w:rPr>
          <w:rFonts w:ascii="Arial" w:hAnsi="Arial" w:cs="Arial"/>
          <w:sz w:val="20"/>
          <w:szCs w:val="20"/>
          <w:lang w:val="x-none" w:eastAsia="en-US"/>
        </w:rPr>
      </w:pPr>
      <w:r w:rsidRPr="00716D6A">
        <w:rPr>
          <w:rFonts w:ascii="Arial" w:hAnsi="Arial" w:cs="Arial"/>
          <w:sz w:val="20"/>
          <w:szCs w:val="20"/>
          <w:lang w:val="x-none" w:eastAsia="en-US"/>
        </w:rPr>
        <w:t xml:space="preserve">NTT DATA – ein Teil der NTT Group – ist Trusted Global Innovator von Business- und IT-Lösungen mit Hauptsitz in Tokio. Wir unterstützen unsere Kunden bei </w:t>
      </w:r>
      <w:r w:rsidRPr="00716D6A">
        <w:rPr>
          <w:rFonts w:ascii="Arial" w:hAnsi="Arial" w:cs="Arial"/>
          <w:sz w:val="20"/>
          <w:szCs w:val="20"/>
          <w:lang w:eastAsia="en-US"/>
        </w:rPr>
        <w:t xml:space="preserve">ihrer </w:t>
      </w:r>
      <w:r w:rsidRPr="00716D6A">
        <w:rPr>
          <w:rFonts w:ascii="Arial" w:hAnsi="Arial" w:cs="Arial"/>
          <w:sz w:val="20"/>
          <w:szCs w:val="20"/>
          <w:lang w:val="x-none" w:eastAsia="en-US"/>
        </w:rPr>
        <w:t xml:space="preserve">Transformation durch Consulting, Branchenlösungen, </w:t>
      </w:r>
      <w:r w:rsidRPr="00716D6A">
        <w:rPr>
          <w:rFonts w:ascii="Arial" w:hAnsi="Arial" w:cs="Arial"/>
          <w:sz w:val="20"/>
          <w:szCs w:val="20"/>
          <w:lang w:eastAsia="en-US"/>
        </w:rPr>
        <w:t>Business Process Services</w:t>
      </w:r>
      <w:r w:rsidRPr="00716D6A">
        <w:rPr>
          <w:rFonts w:ascii="Arial" w:hAnsi="Arial" w:cs="Arial"/>
          <w:sz w:val="20"/>
          <w:szCs w:val="20"/>
          <w:lang w:val="x-none" w:eastAsia="en-US"/>
        </w:rPr>
        <w:t>, IT-Modernisierung und Managed Services. Mit NTT DATA können Kunden und die Gesellschaft im Allgemeinen selbstbewusst in die digitale Zukunft gehen.</w:t>
      </w:r>
      <w:r w:rsidRPr="00716D6A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16D6A">
        <w:rPr>
          <w:rFonts w:ascii="Arial" w:hAnsi="Arial" w:cs="Arial"/>
          <w:sz w:val="20"/>
          <w:szCs w:val="20"/>
          <w:lang w:val="x-none" w:eastAsia="en-US"/>
        </w:rPr>
        <w:t>Wir setzen uns für den langfristigen Erfolg unserer Kunden ein und kombinieren globale Präsenz mit lokaler Kundenbetreuung in über 50 Ländern.</w:t>
      </w:r>
      <w:r w:rsidRPr="00716D6A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16D6A">
        <w:rPr>
          <w:rFonts w:ascii="Arial" w:hAnsi="Arial" w:cs="Arial"/>
          <w:color w:val="000000"/>
          <w:sz w:val="20"/>
          <w:szCs w:val="20"/>
          <w:lang w:eastAsia="en-US"/>
        </w:rPr>
        <w:t xml:space="preserve">Weitere Informationen finden Sie auf </w:t>
      </w:r>
      <w:hyperlink r:id="rId12" w:history="1">
        <w:r w:rsidRPr="00716D6A">
          <w:rPr>
            <w:rStyle w:val="Hyperlink"/>
            <w:rFonts w:ascii="Arial" w:hAnsi="Arial" w:cs="Arial"/>
            <w:sz w:val="20"/>
            <w:szCs w:val="20"/>
            <w:lang w:eastAsia="en-US"/>
          </w:rPr>
          <w:t>de.nttdata.com</w:t>
        </w:r>
      </w:hyperlink>
      <w:r w:rsidR="00D63A29" w:rsidRPr="00716D6A">
        <w:rPr>
          <w:rFonts w:ascii="Arial" w:hAnsi="Arial" w:cs="Arial"/>
          <w:sz w:val="20"/>
          <w:szCs w:val="20"/>
          <w:lang w:eastAsia="en-US"/>
        </w:rPr>
        <w:t>.</w:t>
      </w:r>
    </w:p>
    <w:p w14:paraId="318C7233" w14:textId="0CE92BD7" w:rsidR="00C1265C" w:rsidRDefault="00C1265C" w:rsidP="00A53BEE">
      <w:pPr>
        <w:spacing w:before="0" w:after="200" w:line="276" w:lineRule="auto"/>
        <w:rPr>
          <w:rFonts w:cs="Arial"/>
          <w:b/>
          <w:color w:val="000000" w:themeColor="text1"/>
          <w:lang w:val="de-DE"/>
        </w:rPr>
      </w:pPr>
    </w:p>
    <w:p w14:paraId="3D41F0FF" w14:textId="7F4C6A06" w:rsidR="00A53BEE" w:rsidRPr="006F5282" w:rsidRDefault="00A53BEE" w:rsidP="00A53BEE">
      <w:pPr>
        <w:spacing w:before="0" w:after="200" w:line="276" w:lineRule="auto"/>
        <w:rPr>
          <w:rFonts w:cs="Arial"/>
          <w:b/>
          <w:color w:val="000000" w:themeColor="text1"/>
          <w:lang w:val="de-DE"/>
        </w:rPr>
      </w:pPr>
      <w:r w:rsidRPr="006F5282">
        <w:rPr>
          <w:rFonts w:cs="Arial"/>
          <w:b/>
          <w:color w:val="000000" w:themeColor="text1"/>
          <w:lang w:val="de-DE"/>
        </w:rPr>
        <w:t>Pressekontakt:</w:t>
      </w:r>
    </w:p>
    <w:p w14:paraId="25C7420D" w14:textId="77777777" w:rsidR="00A53BEE" w:rsidRPr="006F5282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6F52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Deutschland GmbH</w:t>
      </w:r>
    </w:p>
    <w:p w14:paraId="683DB746" w14:textId="77777777" w:rsidR="00A53BEE" w:rsidRPr="00530A00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530A00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Katja Friedrich</w:t>
      </w:r>
    </w:p>
    <w:p w14:paraId="22ACEE5E" w14:textId="77777777" w:rsidR="00A53BEE" w:rsidRPr="00352D5A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352D5A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VP, Head of Communications</w:t>
      </w:r>
    </w:p>
    <w:p w14:paraId="5F41623D" w14:textId="77777777" w:rsidR="00A53BEE" w:rsidRPr="00530A00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530A00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Tel.: +49 7243 570-1349</w:t>
      </w:r>
    </w:p>
    <w:p w14:paraId="6A62B30C" w14:textId="5E1BC1E1" w:rsidR="00A53BEE" w:rsidRPr="006F5282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6F52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E-Mail: Katja.Friedrich@nttdata.com</w:t>
      </w:r>
    </w:p>
    <w:sectPr w:rsidR="00A53BEE" w:rsidRPr="006F5282">
      <w:headerReference w:type="default" r:id="rId13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FA00E" w16cex:dateUtc="2020-08-13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06D5D0" w16cid:durableId="22DFA0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1DAE1" w14:textId="77777777" w:rsidR="00173BBE" w:rsidRDefault="00173BBE">
      <w:pPr>
        <w:spacing w:before="0" w:after="0"/>
      </w:pPr>
      <w:r>
        <w:separator/>
      </w:r>
    </w:p>
  </w:endnote>
  <w:endnote w:type="continuationSeparator" w:id="0">
    <w:p w14:paraId="700131A9" w14:textId="77777777" w:rsidR="00173BBE" w:rsidRDefault="00173B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A8A93" w14:textId="77777777" w:rsidR="00173BBE" w:rsidRDefault="00173BBE">
      <w:pPr>
        <w:spacing w:before="0" w:after="0"/>
      </w:pPr>
      <w:r>
        <w:separator/>
      </w:r>
    </w:p>
  </w:footnote>
  <w:footnote w:type="continuationSeparator" w:id="0">
    <w:p w14:paraId="0A1D0276" w14:textId="77777777" w:rsidR="00173BBE" w:rsidRDefault="00173B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23480" w14:textId="77777777" w:rsidR="00D82B4D" w:rsidRDefault="00A53BEE">
    <w:pPr>
      <w:pStyle w:val="Kopfzeile"/>
      <w:tabs>
        <w:tab w:val="left" w:pos="1560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612DA740" wp14:editId="2F763F9B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72F2BA" wp14:editId="62D6A61B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D4D40" w14:textId="77777777" w:rsidR="00D82B4D" w:rsidRDefault="007B71CE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72F2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" filled="f" stroked="f">
              <v:textbox>
                <w:txbxContent>
                  <w:p w14:paraId="45AD4D40" w14:textId="77777777" w:rsidR="00D82B4D" w:rsidRDefault="007B71CE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proofErr w:type="spellStart"/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Pressemitteilung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5FAF4029" wp14:editId="613D4361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EBBF4" wp14:editId="158D3FB5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D1C1D7" wp14:editId="18065310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145"/>
    <w:multiLevelType w:val="hybridMultilevel"/>
    <w:tmpl w:val="DBC6D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 w15:restartNumberingAfterBreak="0">
    <w:nsid w:val="51417255"/>
    <w:multiLevelType w:val="hybridMultilevel"/>
    <w:tmpl w:val="CED42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642A5F2B"/>
    <w:multiLevelType w:val="hybridMultilevel"/>
    <w:tmpl w:val="14962E94"/>
    <w:lvl w:ilvl="0" w:tplc="537E6A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86CA7"/>
    <w:multiLevelType w:val="hybridMultilevel"/>
    <w:tmpl w:val="2EDC2D8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6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D"/>
    <w:rsid w:val="00032E1E"/>
    <w:rsid w:val="000349E6"/>
    <w:rsid w:val="00053722"/>
    <w:rsid w:val="000749E1"/>
    <w:rsid w:val="000816CB"/>
    <w:rsid w:val="000C28F5"/>
    <w:rsid w:val="000D4945"/>
    <w:rsid w:val="000F5D54"/>
    <w:rsid w:val="00124CB5"/>
    <w:rsid w:val="0014448D"/>
    <w:rsid w:val="00164FB0"/>
    <w:rsid w:val="00173BBE"/>
    <w:rsid w:val="00174BC3"/>
    <w:rsid w:val="00182E62"/>
    <w:rsid w:val="001868D7"/>
    <w:rsid w:val="001B7503"/>
    <w:rsid w:val="001B7E0A"/>
    <w:rsid w:val="001C0959"/>
    <w:rsid w:val="001D24DE"/>
    <w:rsid w:val="00222A7F"/>
    <w:rsid w:val="00253651"/>
    <w:rsid w:val="00262CC2"/>
    <w:rsid w:val="00272B6A"/>
    <w:rsid w:val="00280289"/>
    <w:rsid w:val="002935A6"/>
    <w:rsid w:val="002C48E0"/>
    <w:rsid w:val="002D605B"/>
    <w:rsid w:val="002F251F"/>
    <w:rsid w:val="00301C9A"/>
    <w:rsid w:val="00331D5A"/>
    <w:rsid w:val="00352D5A"/>
    <w:rsid w:val="003A1B38"/>
    <w:rsid w:val="003C397F"/>
    <w:rsid w:val="003E1CB6"/>
    <w:rsid w:val="0040073F"/>
    <w:rsid w:val="004119E3"/>
    <w:rsid w:val="00442DCE"/>
    <w:rsid w:val="0044671C"/>
    <w:rsid w:val="0047608E"/>
    <w:rsid w:val="0049539D"/>
    <w:rsid w:val="004B1056"/>
    <w:rsid w:val="004D52FC"/>
    <w:rsid w:val="004F3847"/>
    <w:rsid w:val="00524AD2"/>
    <w:rsid w:val="00530A00"/>
    <w:rsid w:val="005411BE"/>
    <w:rsid w:val="00552B7C"/>
    <w:rsid w:val="005630CC"/>
    <w:rsid w:val="00566EC8"/>
    <w:rsid w:val="00580DEF"/>
    <w:rsid w:val="005825B3"/>
    <w:rsid w:val="005B19C7"/>
    <w:rsid w:val="005B4D50"/>
    <w:rsid w:val="005C6DF7"/>
    <w:rsid w:val="005F4C5E"/>
    <w:rsid w:val="005F7C86"/>
    <w:rsid w:val="00617AA1"/>
    <w:rsid w:val="00625283"/>
    <w:rsid w:val="00630C28"/>
    <w:rsid w:val="00672423"/>
    <w:rsid w:val="006A0CA7"/>
    <w:rsid w:val="006F5282"/>
    <w:rsid w:val="00712BAA"/>
    <w:rsid w:val="00716D6A"/>
    <w:rsid w:val="007653E3"/>
    <w:rsid w:val="00782721"/>
    <w:rsid w:val="00794A92"/>
    <w:rsid w:val="007B1CEB"/>
    <w:rsid w:val="007B71CE"/>
    <w:rsid w:val="007C17A5"/>
    <w:rsid w:val="007D35D7"/>
    <w:rsid w:val="007E3FD4"/>
    <w:rsid w:val="007E4CA7"/>
    <w:rsid w:val="00820FEF"/>
    <w:rsid w:val="00873A50"/>
    <w:rsid w:val="008D7B43"/>
    <w:rsid w:val="008E4F40"/>
    <w:rsid w:val="00977A49"/>
    <w:rsid w:val="00993FC5"/>
    <w:rsid w:val="009A7AB2"/>
    <w:rsid w:val="009B07CD"/>
    <w:rsid w:val="009D1AB5"/>
    <w:rsid w:val="00A07568"/>
    <w:rsid w:val="00A1481A"/>
    <w:rsid w:val="00A22A30"/>
    <w:rsid w:val="00A250DD"/>
    <w:rsid w:val="00A53BEE"/>
    <w:rsid w:val="00A57AE7"/>
    <w:rsid w:val="00A730B2"/>
    <w:rsid w:val="00A75E4C"/>
    <w:rsid w:val="00A84761"/>
    <w:rsid w:val="00AC7968"/>
    <w:rsid w:val="00AE2A7A"/>
    <w:rsid w:val="00AF442D"/>
    <w:rsid w:val="00B11C70"/>
    <w:rsid w:val="00B23D2E"/>
    <w:rsid w:val="00B36C31"/>
    <w:rsid w:val="00B43CBF"/>
    <w:rsid w:val="00B45B2F"/>
    <w:rsid w:val="00B5162B"/>
    <w:rsid w:val="00B61517"/>
    <w:rsid w:val="00BD54FA"/>
    <w:rsid w:val="00BF06A7"/>
    <w:rsid w:val="00C1265C"/>
    <w:rsid w:val="00C20A14"/>
    <w:rsid w:val="00C42670"/>
    <w:rsid w:val="00C446A1"/>
    <w:rsid w:val="00C72C27"/>
    <w:rsid w:val="00C75961"/>
    <w:rsid w:val="00C768BC"/>
    <w:rsid w:val="00C80AED"/>
    <w:rsid w:val="00C816D5"/>
    <w:rsid w:val="00C83E7C"/>
    <w:rsid w:val="00C97613"/>
    <w:rsid w:val="00CB0FB5"/>
    <w:rsid w:val="00CB1C78"/>
    <w:rsid w:val="00CC259C"/>
    <w:rsid w:val="00CF7707"/>
    <w:rsid w:val="00D007A0"/>
    <w:rsid w:val="00D17750"/>
    <w:rsid w:val="00D5689B"/>
    <w:rsid w:val="00D63A29"/>
    <w:rsid w:val="00D64F6B"/>
    <w:rsid w:val="00D82B4D"/>
    <w:rsid w:val="00DC3A34"/>
    <w:rsid w:val="00E53401"/>
    <w:rsid w:val="00E535D0"/>
    <w:rsid w:val="00E73820"/>
    <w:rsid w:val="00EE5CFF"/>
    <w:rsid w:val="00EF3263"/>
    <w:rsid w:val="00EF5D81"/>
    <w:rsid w:val="00F36F70"/>
    <w:rsid w:val="00F4213F"/>
    <w:rsid w:val="00F533AC"/>
    <w:rsid w:val="00F61107"/>
    <w:rsid w:val="00F70A16"/>
    <w:rsid w:val="00F95C81"/>
    <w:rsid w:val="00F97A05"/>
    <w:rsid w:val="00FA67D5"/>
    <w:rsid w:val="00FB2134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951BF3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36C3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C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63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.nttdata.com/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i.nttdata.com/en/contes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oi.nttdata.com/en/conte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41C0-8A9C-4E6B-8D7A-FA2DA30B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Friedrich Katja</cp:lastModifiedBy>
  <cp:revision>2</cp:revision>
  <cp:lastPrinted>2019-11-14T08:24:00Z</cp:lastPrinted>
  <dcterms:created xsi:type="dcterms:W3CDTF">2020-08-13T10:12:00Z</dcterms:created>
  <dcterms:modified xsi:type="dcterms:W3CDTF">2020-08-13T10:12:00Z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