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CE44" w14:textId="77777777" w:rsidR="00144A4B" w:rsidRPr="00144A4B" w:rsidRDefault="00144A4B" w:rsidP="00144A4B">
      <w:pPr>
        <w:shd w:val="clear" w:color="auto" w:fill="FFFFFF"/>
        <w:spacing w:before="0" w:after="0"/>
        <w:jc w:val="both"/>
        <w:outlineLvl w:val="1"/>
        <w:rPr>
          <w:rFonts w:cs="Arial"/>
          <w:b/>
          <w:color w:val="000000"/>
          <w:sz w:val="24"/>
          <w:szCs w:val="24"/>
          <w:lang w:val="de-DE"/>
        </w:rPr>
      </w:pPr>
      <w:bookmarkStart w:id="0" w:name="_GoBack"/>
      <w:bookmarkEnd w:id="0"/>
      <w:r w:rsidRPr="00144A4B">
        <w:rPr>
          <w:rFonts w:cs="Arial"/>
          <w:b/>
          <w:color w:val="000000"/>
          <w:sz w:val="24"/>
          <w:szCs w:val="24"/>
          <w:lang w:val="de-DE"/>
        </w:rPr>
        <w:t xml:space="preserve">NTT DATA führt </w:t>
      </w:r>
      <w:proofErr w:type="spellStart"/>
      <w:r w:rsidRPr="00144A4B">
        <w:rPr>
          <w:rFonts w:cs="Arial"/>
          <w:b/>
          <w:color w:val="000000"/>
          <w:sz w:val="24"/>
          <w:szCs w:val="24"/>
          <w:lang w:val="de-DE"/>
        </w:rPr>
        <w:t>Platea</w:t>
      </w:r>
      <w:proofErr w:type="spellEnd"/>
      <w:r w:rsidRPr="00144A4B">
        <w:rPr>
          <w:rFonts w:cs="Arial"/>
          <w:b/>
          <w:color w:val="000000"/>
          <w:sz w:val="24"/>
          <w:szCs w:val="24"/>
          <w:lang w:val="de-DE"/>
        </w:rPr>
        <w:t xml:space="preserve"> Banking ein – eine neue digitale Banking-Plattform, die Banken in die Lage versetzt, innovative Open Banking Angebote zusammenzustellen</w:t>
      </w:r>
    </w:p>
    <w:p w14:paraId="7C05E6C7" w14:textId="756E7A3E" w:rsidR="00144A4B" w:rsidRPr="00144A4B" w:rsidRDefault="00144A4B" w:rsidP="00144A4B">
      <w:pPr>
        <w:pStyle w:val="Default"/>
        <w:jc w:val="both"/>
        <w:rPr>
          <w:rFonts w:ascii="Arial" w:hAnsi="Arial" w:cs="Arial"/>
          <w:sz w:val="20"/>
          <w:lang w:val="de-DE"/>
        </w:rPr>
      </w:pPr>
    </w:p>
    <w:p w14:paraId="759E7347" w14:textId="77777777" w:rsidR="00144A4B" w:rsidRPr="00144A4B" w:rsidRDefault="00144A4B" w:rsidP="00144A4B">
      <w:pPr>
        <w:shd w:val="clear" w:color="auto" w:fill="FFFFFF"/>
        <w:spacing w:before="0" w:after="0"/>
        <w:jc w:val="both"/>
        <w:rPr>
          <w:rFonts w:cs="Arial"/>
          <w:b/>
          <w:color w:val="000000"/>
          <w:szCs w:val="24"/>
          <w:lang w:val="de-DE"/>
        </w:rPr>
      </w:pPr>
      <w:proofErr w:type="spellStart"/>
      <w:r w:rsidRPr="00144A4B">
        <w:rPr>
          <w:rFonts w:cs="Arial"/>
          <w:b/>
          <w:color w:val="000000"/>
          <w:szCs w:val="24"/>
          <w:lang w:val="de-DE"/>
        </w:rPr>
        <w:t>Platea</w:t>
      </w:r>
      <w:proofErr w:type="spellEnd"/>
      <w:r w:rsidRPr="00144A4B">
        <w:rPr>
          <w:rFonts w:cs="Arial"/>
          <w:b/>
          <w:color w:val="000000"/>
          <w:szCs w:val="24"/>
          <w:lang w:val="de-DE"/>
        </w:rPr>
        <w:t xml:space="preserve"> Banking wurde entwickelt, um Banken in die Lage zu versetzen, mit </w:t>
      </w:r>
      <w:proofErr w:type="spellStart"/>
      <w:r w:rsidRPr="00144A4B">
        <w:rPr>
          <w:rFonts w:cs="Arial"/>
          <w:b/>
          <w:color w:val="000000"/>
          <w:szCs w:val="24"/>
          <w:lang w:val="de-DE"/>
        </w:rPr>
        <w:t>Fintechs</w:t>
      </w:r>
      <w:proofErr w:type="spellEnd"/>
      <w:r w:rsidRPr="00144A4B">
        <w:rPr>
          <w:rFonts w:cs="Arial"/>
          <w:b/>
          <w:color w:val="000000"/>
          <w:szCs w:val="24"/>
          <w:lang w:val="de-DE"/>
        </w:rPr>
        <w:t xml:space="preserve"> und Neobanken zu konkurrieren, indem sie sehr schnell neue Geschäftsmodelle und unterschiedliche Services einführen können</w:t>
      </w:r>
    </w:p>
    <w:p w14:paraId="2A549622" w14:textId="0A1068B4" w:rsidR="00144A4B" w:rsidRPr="00144A4B" w:rsidRDefault="00144A4B" w:rsidP="00144A4B">
      <w:pPr>
        <w:pStyle w:val="Default"/>
        <w:jc w:val="both"/>
        <w:rPr>
          <w:rFonts w:ascii="Arial" w:hAnsi="Arial" w:cs="Arial"/>
          <w:sz w:val="20"/>
          <w:lang w:val="de-DE"/>
        </w:rPr>
      </w:pPr>
    </w:p>
    <w:p w14:paraId="328D6668" w14:textId="77777777" w:rsidR="00144A4B" w:rsidRPr="00144A4B" w:rsidRDefault="00144A4B" w:rsidP="00144A4B">
      <w:pPr>
        <w:pStyle w:val="Default"/>
        <w:jc w:val="both"/>
        <w:rPr>
          <w:rFonts w:ascii="Arial" w:hAnsi="Arial" w:cs="Arial"/>
          <w:sz w:val="20"/>
          <w:lang w:val="de-DE"/>
        </w:rPr>
      </w:pPr>
    </w:p>
    <w:p w14:paraId="68310566" w14:textId="545BCD6E" w:rsidR="00144A4B" w:rsidRDefault="00A53BEE" w:rsidP="00144A4B">
      <w:pPr>
        <w:pStyle w:val="Default"/>
        <w:jc w:val="both"/>
        <w:rPr>
          <w:rFonts w:cs="Arial"/>
          <w:lang w:val="de-DE"/>
        </w:rPr>
      </w:pPr>
      <w:r w:rsidRPr="000F0622">
        <w:rPr>
          <w:rFonts w:ascii="Arial" w:hAnsi="Arial" w:cs="Arial"/>
          <w:b/>
          <w:sz w:val="20"/>
          <w:lang w:val="de-DE"/>
        </w:rPr>
        <w:t>München</w:t>
      </w:r>
      <w:r w:rsidR="00F550F6" w:rsidRPr="000F0622">
        <w:rPr>
          <w:rFonts w:ascii="Arial" w:hAnsi="Arial" w:cs="Arial"/>
          <w:b/>
          <w:sz w:val="20"/>
          <w:lang w:val="de-DE"/>
        </w:rPr>
        <w:t>,</w:t>
      </w:r>
      <w:r w:rsidR="00182E62" w:rsidRPr="000F0622">
        <w:rPr>
          <w:rFonts w:ascii="Arial" w:hAnsi="Arial" w:cs="Arial"/>
          <w:b/>
          <w:sz w:val="20"/>
          <w:lang w:val="de-DE"/>
        </w:rPr>
        <w:t xml:space="preserve"> </w:t>
      </w:r>
      <w:r w:rsidR="00B03FDB">
        <w:rPr>
          <w:rFonts w:ascii="Arial" w:hAnsi="Arial" w:cs="Arial"/>
          <w:b/>
          <w:sz w:val="20"/>
          <w:lang w:val="de-DE"/>
        </w:rPr>
        <w:t>11</w:t>
      </w:r>
      <w:r w:rsidR="00B14F11">
        <w:rPr>
          <w:rFonts w:ascii="Arial" w:hAnsi="Arial" w:cs="Arial"/>
          <w:b/>
          <w:sz w:val="20"/>
          <w:lang w:val="de-DE"/>
        </w:rPr>
        <w:t>. März</w:t>
      </w:r>
      <w:r w:rsidR="007169E2">
        <w:rPr>
          <w:rFonts w:ascii="Arial" w:hAnsi="Arial" w:cs="Arial"/>
          <w:b/>
          <w:sz w:val="20"/>
          <w:lang w:val="de-DE"/>
        </w:rPr>
        <w:t xml:space="preserve"> 2021</w:t>
      </w:r>
      <w:r w:rsidRPr="000F0622">
        <w:rPr>
          <w:rFonts w:ascii="Arial" w:hAnsi="Arial" w:cs="Arial"/>
          <w:sz w:val="20"/>
          <w:lang w:val="de-DE"/>
        </w:rPr>
        <w:t xml:space="preserve"> –</w:t>
      </w:r>
      <w:r w:rsidR="007F393F" w:rsidRPr="000F0622">
        <w:rPr>
          <w:rFonts w:ascii="Arial" w:hAnsi="Arial" w:cs="Arial"/>
          <w:sz w:val="20"/>
          <w:lang w:val="de-DE"/>
        </w:rPr>
        <w:t xml:space="preserve"> </w:t>
      </w:r>
      <w:r w:rsidR="00144A4B">
        <w:rPr>
          <w:rFonts w:ascii="Arial" w:hAnsi="Arial" w:cs="Arial"/>
          <w:sz w:val="20"/>
          <w:lang w:val="de-DE"/>
        </w:rPr>
        <w:t xml:space="preserve">NTT DATA, </w:t>
      </w:r>
      <w:r w:rsidR="00144A4B" w:rsidRPr="00144A4B">
        <w:rPr>
          <w:rFonts w:ascii="Arial" w:hAnsi="Arial" w:cs="Arial"/>
          <w:sz w:val="20"/>
          <w:lang w:val="de-DE"/>
        </w:rPr>
        <w:t xml:space="preserve">ein anerkanntes führendes Beratungs- und IT-Dienstleistungsunternehmen für die Finanzdienstleistungsindustrie, gab heute die Einführung von </w:t>
      </w:r>
      <w:proofErr w:type="spellStart"/>
      <w:r w:rsidR="00144A4B" w:rsidRPr="00144A4B">
        <w:rPr>
          <w:rFonts w:ascii="Arial" w:hAnsi="Arial" w:cs="Arial"/>
          <w:sz w:val="20"/>
          <w:lang w:val="de-DE"/>
        </w:rPr>
        <w:t>Platea</w:t>
      </w:r>
      <w:proofErr w:type="spellEnd"/>
      <w:r w:rsidR="00144A4B" w:rsidRPr="00144A4B">
        <w:rPr>
          <w:rFonts w:ascii="Arial" w:hAnsi="Arial" w:cs="Arial"/>
          <w:sz w:val="20"/>
          <w:lang w:val="de-DE"/>
        </w:rPr>
        <w:t xml:space="preserve"> Banking, einer neuen digitalen Banking-Plattform bekannt. </w:t>
      </w:r>
      <w:proofErr w:type="spellStart"/>
      <w:r w:rsidR="00144A4B" w:rsidRPr="00144A4B">
        <w:rPr>
          <w:rFonts w:ascii="Arial" w:hAnsi="Arial" w:cs="Arial"/>
          <w:sz w:val="20"/>
          <w:lang w:val="de-DE"/>
        </w:rPr>
        <w:t>Platea</w:t>
      </w:r>
      <w:proofErr w:type="spellEnd"/>
      <w:r w:rsidR="00144A4B" w:rsidRPr="00144A4B">
        <w:rPr>
          <w:rFonts w:ascii="Arial" w:hAnsi="Arial" w:cs="Arial"/>
          <w:sz w:val="20"/>
          <w:lang w:val="de-DE"/>
        </w:rPr>
        <w:t xml:space="preserve"> Banking unterstützt Banken, die Transformationsherausforderungen in Bezug auf ihre herkömmliche Technologie anzugehen und um neue Serviceleistungen oder innovative neue Geschäftsmodelle schneller einzuführen.</w:t>
      </w:r>
    </w:p>
    <w:p w14:paraId="6BF90B73" w14:textId="77777777" w:rsidR="00144A4B" w:rsidRPr="00144A4B" w:rsidRDefault="00144A4B" w:rsidP="00144A4B">
      <w:pPr>
        <w:shd w:val="clear" w:color="auto" w:fill="FFFFFF"/>
        <w:spacing w:before="0" w:after="0"/>
        <w:jc w:val="both"/>
        <w:rPr>
          <w:rFonts w:cs="Arial"/>
          <w:color w:val="000000"/>
          <w:szCs w:val="24"/>
          <w:lang w:val="de-DE"/>
        </w:rPr>
      </w:pPr>
    </w:p>
    <w:p w14:paraId="3BA8FFE2" w14:textId="1651CE08" w:rsidR="00144A4B" w:rsidRDefault="00144A4B" w:rsidP="00144A4B">
      <w:pPr>
        <w:shd w:val="clear" w:color="auto" w:fill="FFFFFF"/>
        <w:spacing w:before="0" w:after="0"/>
        <w:jc w:val="both"/>
        <w:rPr>
          <w:rFonts w:cs="Arial"/>
          <w:color w:val="000000"/>
          <w:szCs w:val="24"/>
          <w:lang w:val="de-DE"/>
        </w:rPr>
      </w:pPr>
      <w:r w:rsidRPr="00144A4B">
        <w:rPr>
          <w:rFonts w:cs="Arial"/>
          <w:color w:val="000000"/>
          <w:szCs w:val="24"/>
          <w:lang w:val="de-DE"/>
        </w:rPr>
        <w:t xml:space="preserve">Banken passen sich nur sehr langsam an moderne Bankformate an, erschwert durch Altsysteme und fehlende Ressourcen, um die von Kunden nachgefragten digitalen Erlebnisse zu ermöglichen. Als langjähriger Partner einiger der weltweit größten Privatkundenbanken konnte NTT DATA diese Herausforderungen für traditionelle Banken aus erster Hand erfahren und </w:t>
      </w:r>
      <w:r w:rsidR="00B03FDB">
        <w:rPr>
          <w:rFonts w:cs="Arial"/>
          <w:color w:val="000000"/>
          <w:szCs w:val="24"/>
          <w:lang w:val="de-DE"/>
        </w:rPr>
        <w:t xml:space="preserve">hat </w:t>
      </w:r>
      <w:r w:rsidRPr="00144A4B">
        <w:rPr>
          <w:rFonts w:cs="Arial"/>
          <w:color w:val="000000"/>
          <w:szCs w:val="24"/>
          <w:lang w:val="de-DE"/>
        </w:rPr>
        <w:t xml:space="preserve">den durch Open Banking geschaffenen Wandel miterlebt. </w:t>
      </w:r>
      <w:proofErr w:type="spellStart"/>
      <w:r w:rsidRPr="00144A4B">
        <w:rPr>
          <w:rFonts w:cs="Arial"/>
          <w:color w:val="000000"/>
          <w:szCs w:val="24"/>
          <w:lang w:val="de-DE"/>
        </w:rPr>
        <w:t>Platea</w:t>
      </w:r>
      <w:proofErr w:type="spellEnd"/>
      <w:r w:rsidRPr="00144A4B">
        <w:rPr>
          <w:rFonts w:cs="Arial"/>
          <w:color w:val="000000"/>
          <w:szCs w:val="24"/>
          <w:lang w:val="de-DE"/>
        </w:rPr>
        <w:t xml:space="preserve"> Banking wurde daher entwickelt, um Banken rund um den Globus zu unterstützen, sich von monolithischen Modellen zu trennen und sie stattdessen in die Lage zu versetzen, neue Betreibermodelle mithilfe eines plattformbezogenen Ansatzes zu ermöglichen, der einen kundenorientierteren Fokus für Bankgeschäfte ermöglicht.</w:t>
      </w:r>
    </w:p>
    <w:p w14:paraId="7421F177" w14:textId="77777777" w:rsidR="00144A4B" w:rsidRPr="00144A4B" w:rsidRDefault="00144A4B" w:rsidP="00144A4B">
      <w:pPr>
        <w:shd w:val="clear" w:color="auto" w:fill="FFFFFF"/>
        <w:spacing w:before="0" w:after="0"/>
        <w:jc w:val="both"/>
        <w:rPr>
          <w:rFonts w:cs="Arial"/>
          <w:color w:val="000000"/>
          <w:szCs w:val="24"/>
          <w:lang w:val="de-DE"/>
        </w:rPr>
      </w:pPr>
    </w:p>
    <w:p w14:paraId="5D6D552B" w14:textId="6A372C8B" w:rsidR="00144A4B" w:rsidRDefault="00144A4B" w:rsidP="00144A4B">
      <w:pPr>
        <w:shd w:val="clear" w:color="auto" w:fill="FFFFFF"/>
        <w:spacing w:before="0" w:after="0"/>
        <w:jc w:val="both"/>
        <w:rPr>
          <w:rFonts w:cs="Arial"/>
          <w:color w:val="000000"/>
          <w:szCs w:val="24"/>
          <w:lang w:val="de-DE"/>
        </w:rPr>
      </w:pPr>
      <w:r w:rsidRPr="00144A4B">
        <w:rPr>
          <w:rFonts w:cs="Arial"/>
          <w:color w:val="000000"/>
          <w:szCs w:val="24"/>
          <w:lang w:val="de-DE"/>
        </w:rPr>
        <w:t xml:space="preserve">Entwickelt auf einer modernen </w:t>
      </w:r>
      <w:r w:rsidR="00B03FDB" w:rsidRPr="00144A4B">
        <w:rPr>
          <w:rFonts w:cs="Arial"/>
          <w:color w:val="000000"/>
          <w:szCs w:val="24"/>
          <w:lang w:val="de-DE"/>
        </w:rPr>
        <w:t>cloudbasierten</w:t>
      </w:r>
      <w:r w:rsidRPr="00144A4B">
        <w:rPr>
          <w:rFonts w:cs="Arial"/>
          <w:color w:val="000000"/>
          <w:szCs w:val="24"/>
          <w:lang w:val="de-DE"/>
        </w:rPr>
        <w:t xml:space="preserve"> </w:t>
      </w:r>
      <w:proofErr w:type="spellStart"/>
      <w:r w:rsidRPr="00144A4B">
        <w:rPr>
          <w:rFonts w:cs="Arial"/>
          <w:color w:val="000000"/>
          <w:szCs w:val="24"/>
          <w:lang w:val="de-DE"/>
        </w:rPr>
        <w:t>Banking</w:t>
      </w:r>
      <w:r w:rsidR="00B03FDB">
        <w:rPr>
          <w:rFonts w:cs="Arial"/>
          <w:color w:val="000000"/>
          <w:szCs w:val="24"/>
          <w:lang w:val="de-DE"/>
        </w:rPr>
        <w:t>a</w:t>
      </w:r>
      <w:r w:rsidR="00B03FDB" w:rsidRPr="00144A4B">
        <w:rPr>
          <w:rFonts w:cs="Arial"/>
          <w:color w:val="000000"/>
          <w:szCs w:val="24"/>
          <w:lang w:val="de-DE"/>
        </w:rPr>
        <w:t>rchitektur</w:t>
      </w:r>
      <w:proofErr w:type="spellEnd"/>
      <w:r w:rsidRPr="00144A4B">
        <w:rPr>
          <w:rFonts w:cs="Arial"/>
          <w:color w:val="000000"/>
          <w:szCs w:val="24"/>
          <w:lang w:val="de-DE"/>
        </w:rPr>
        <w:t xml:space="preserve">, handelt es sich bei </w:t>
      </w:r>
      <w:proofErr w:type="spellStart"/>
      <w:r w:rsidRPr="00144A4B">
        <w:rPr>
          <w:rFonts w:cs="Arial"/>
          <w:color w:val="000000"/>
          <w:szCs w:val="24"/>
          <w:lang w:val="de-DE"/>
        </w:rPr>
        <w:t>Platea</w:t>
      </w:r>
      <w:proofErr w:type="spellEnd"/>
      <w:r w:rsidRPr="00144A4B">
        <w:rPr>
          <w:rFonts w:cs="Arial"/>
          <w:color w:val="000000"/>
          <w:szCs w:val="24"/>
          <w:lang w:val="de-DE"/>
        </w:rPr>
        <w:t xml:space="preserve"> Banking um eine offene Banking-Plattform, die ein umfangreiches integriertes Partner-Ökosystem und eine Anzahl funktionaler Module einbringt, die die Banken in die Lage versetzen, ihre eigenen digitalen Plattformen darauf aufzubauen. Die Module umfassen eine umfangreiche Servicepalette, die unter anderem vom Kunden-</w:t>
      </w:r>
      <w:proofErr w:type="spellStart"/>
      <w:r w:rsidRPr="00144A4B">
        <w:rPr>
          <w:rFonts w:cs="Arial"/>
          <w:color w:val="000000"/>
          <w:szCs w:val="24"/>
          <w:lang w:val="de-DE"/>
        </w:rPr>
        <w:t>Onboarding</w:t>
      </w:r>
      <w:proofErr w:type="spellEnd"/>
      <w:r w:rsidRPr="00144A4B">
        <w:rPr>
          <w:rFonts w:cs="Arial"/>
          <w:color w:val="000000"/>
          <w:szCs w:val="24"/>
          <w:lang w:val="de-DE"/>
        </w:rPr>
        <w:t xml:space="preserve"> und der Kreditvergabe, über die Finanzplanung und das Finanzmanagement bis hin zur Kartenausgabe und der Transaktionsabwicklung sowie dem Zahlungsverkehr reicht. Dieser Cloud fokussierte Ansatz gewährleistet sowohl Elastizität als auch Flexibilität, sodass Banken </w:t>
      </w:r>
      <w:proofErr w:type="spellStart"/>
      <w:r w:rsidRPr="00144A4B">
        <w:rPr>
          <w:rFonts w:cs="Arial"/>
          <w:color w:val="000000"/>
          <w:szCs w:val="24"/>
          <w:lang w:val="de-DE"/>
        </w:rPr>
        <w:t>Platea</w:t>
      </w:r>
      <w:proofErr w:type="spellEnd"/>
      <w:r w:rsidRPr="00144A4B">
        <w:rPr>
          <w:rFonts w:cs="Arial"/>
          <w:color w:val="000000"/>
          <w:szCs w:val="24"/>
          <w:lang w:val="de-DE"/>
        </w:rPr>
        <w:t xml:space="preserve"> Banking nutzen können, um ihr digitales Angebot in der von ihnen gewünschten Geschwindigkeit zu vergrößern, ohne dabei von einem spezifischen Anbieter abhängig zu werden.</w:t>
      </w:r>
    </w:p>
    <w:p w14:paraId="139C4401" w14:textId="77777777" w:rsidR="00144A4B" w:rsidRPr="00144A4B" w:rsidRDefault="00144A4B" w:rsidP="00144A4B">
      <w:pPr>
        <w:shd w:val="clear" w:color="auto" w:fill="FFFFFF"/>
        <w:spacing w:before="0" w:after="0"/>
        <w:jc w:val="both"/>
        <w:rPr>
          <w:rFonts w:cs="Arial"/>
          <w:color w:val="000000"/>
          <w:szCs w:val="24"/>
          <w:lang w:val="de-DE"/>
        </w:rPr>
      </w:pPr>
    </w:p>
    <w:p w14:paraId="46694B2E" w14:textId="7A3AC8A5" w:rsidR="00144A4B" w:rsidRPr="000717E2" w:rsidRDefault="00144A4B" w:rsidP="00144A4B">
      <w:pPr>
        <w:shd w:val="clear" w:color="auto" w:fill="FFFFFF"/>
        <w:spacing w:before="0" w:after="0"/>
        <w:jc w:val="both"/>
        <w:rPr>
          <w:rFonts w:cs="Arial"/>
          <w:color w:val="000000"/>
          <w:szCs w:val="24"/>
          <w:lang w:val="de-AT"/>
        </w:rPr>
      </w:pPr>
      <w:r w:rsidRPr="00144A4B">
        <w:rPr>
          <w:rFonts w:cs="Arial"/>
          <w:color w:val="000000"/>
          <w:szCs w:val="24"/>
          <w:lang w:val="de-DE"/>
        </w:rPr>
        <w:t xml:space="preserve">Manuel Romero, Global Head </w:t>
      </w:r>
      <w:proofErr w:type="spellStart"/>
      <w:r w:rsidRPr="00144A4B">
        <w:rPr>
          <w:rFonts w:cs="Arial"/>
          <w:color w:val="000000"/>
          <w:szCs w:val="24"/>
          <w:lang w:val="de-DE"/>
        </w:rPr>
        <w:t>of</w:t>
      </w:r>
      <w:proofErr w:type="spellEnd"/>
      <w:r w:rsidRPr="00144A4B">
        <w:rPr>
          <w:rFonts w:cs="Arial"/>
          <w:color w:val="000000"/>
          <w:szCs w:val="24"/>
          <w:lang w:val="de-DE"/>
        </w:rPr>
        <w:t xml:space="preserve"> NTT </w:t>
      </w:r>
      <w:proofErr w:type="spellStart"/>
      <w:r w:rsidRPr="00144A4B">
        <w:rPr>
          <w:rFonts w:cs="Arial"/>
          <w:color w:val="000000"/>
          <w:szCs w:val="24"/>
          <w:lang w:val="de-DE"/>
        </w:rPr>
        <w:t>DATA’s</w:t>
      </w:r>
      <w:proofErr w:type="spellEnd"/>
      <w:r w:rsidRPr="00144A4B">
        <w:rPr>
          <w:rFonts w:cs="Arial"/>
          <w:color w:val="000000"/>
          <w:szCs w:val="24"/>
          <w:lang w:val="de-DE"/>
        </w:rPr>
        <w:t xml:space="preserve"> Open Banking Practice, kommentierte dies mit den Worten: „Technologie spielt eine zentrale Rolle bei der Unterstützung von Banken</w:t>
      </w:r>
      <w:r w:rsidR="000717E2">
        <w:rPr>
          <w:rFonts w:cs="Arial"/>
          <w:color w:val="000000"/>
          <w:szCs w:val="24"/>
          <w:lang w:val="de-DE"/>
        </w:rPr>
        <w:t>,</w:t>
      </w:r>
      <w:r w:rsidRPr="00144A4B">
        <w:rPr>
          <w:rFonts w:cs="Arial"/>
          <w:color w:val="000000"/>
          <w:szCs w:val="24"/>
          <w:lang w:val="de-DE"/>
        </w:rPr>
        <w:t xml:space="preserve"> </w:t>
      </w:r>
      <w:r w:rsidR="000717E2">
        <w:rPr>
          <w:rFonts w:cs="Arial"/>
          <w:color w:val="000000"/>
          <w:szCs w:val="24"/>
          <w:lang w:val="de-DE"/>
        </w:rPr>
        <w:t>um die</w:t>
      </w:r>
      <w:r w:rsidRPr="00144A4B">
        <w:rPr>
          <w:rFonts w:cs="Arial"/>
          <w:color w:val="000000"/>
          <w:szCs w:val="24"/>
          <w:lang w:val="de-DE"/>
        </w:rPr>
        <w:t xml:space="preserve"> Bereitstellung und Innovation von Banking-Serviceleistungen der nächsten Generation für ihre Kunden einzuleiten. Aufgrund der Kunden, die digitale Banking-Services erwarten, ist es zwingend erforderlich, dass Banken dementsprechend handeln, um ihren Bedürfnissen zu entsprechen. </w:t>
      </w:r>
      <w:proofErr w:type="spellStart"/>
      <w:r w:rsidRPr="00144A4B">
        <w:rPr>
          <w:rFonts w:cs="Arial"/>
          <w:color w:val="000000"/>
          <w:szCs w:val="24"/>
          <w:lang w:val="de-DE"/>
        </w:rPr>
        <w:t>Platea</w:t>
      </w:r>
      <w:proofErr w:type="spellEnd"/>
      <w:r w:rsidRPr="00144A4B">
        <w:rPr>
          <w:rFonts w:cs="Arial"/>
          <w:color w:val="000000"/>
          <w:szCs w:val="24"/>
          <w:lang w:val="de-DE"/>
        </w:rPr>
        <w:t xml:space="preserve"> Banking wurde entwickelt, um Banken in die Lage zu versetzen und ihnen einen Weg zur Integration </w:t>
      </w:r>
      <w:r w:rsidR="000717E2" w:rsidRPr="00144A4B">
        <w:rPr>
          <w:rFonts w:cs="Arial"/>
          <w:color w:val="000000"/>
          <w:szCs w:val="24"/>
          <w:lang w:val="de-DE"/>
        </w:rPr>
        <w:t>cloudbasierter</w:t>
      </w:r>
      <w:r w:rsidRPr="00144A4B">
        <w:rPr>
          <w:rFonts w:cs="Arial"/>
          <w:color w:val="000000"/>
          <w:szCs w:val="24"/>
          <w:lang w:val="de-DE"/>
        </w:rPr>
        <w:t xml:space="preserve"> Technologie aufzeigen zu können, um ihr Geschäft sowie ihre Fähigkeit auszubauen </w:t>
      </w:r>
      <w:r w:rsidR="000717E2">
        <w:rPr>
          <w:rFonts w:cs="Arial"/>
          <w:color w:val="000000"/>
          <w:szCs w:val="24"/>
          <w:lang w:val="de-DE"/>
        </w:rPr>
        <w:t>und</w:t>
      </w:r>
      <w:r w:rsidRPr="00144A4B">
        <w:rPr>
          <w:rFonts w:cs="Arial"/>
          <w:color w:val="000000"/>
          <w:szCs w:val="24"/>
          <w:lang w:val="de-DE"/>
        </w:rPr>
        <w:t xml:space="preserve"> Hindernisse wie etwa Skalierungsprobleme, Altsysteme und Compliance-Regeln zu überwinden.”</w:t>
      </w:r>
    </w:p>
    <w:p w14:paraId="59DBC148" w14:textId="77777777" w:rsidR="00144A4B" w:rsidRPr="000717E2" w:rsidRDefault="00144A4B" w:rsidP="00144A4B">
      <w:pPr>
        <w:shd w:val="clear" w:color="auto" w:fill="FFFFFF"/>
        <w:spacing w:before="0" w:after="0"/>
        <w:jc w:val="both"/>
        <w:rPr>
          <w:rFonts w:cs="Arial"/>
          <w:color w:val="000000"/>
          <w:szCs w:val="24"/>
          <w:lang w:val="de-AT"/>
        </w:rPr>
      </w:pPr>
    </w:p>
    <w:p w14:paraId="50760784" w14:textId="66E85D21" w:rsidR="00144A4B" w:rsidRDefault="00144A4B" w:rsidP="00144A4B">
      <w:pPr>
        <w:shd w:val="clear" w:color="auto" w:fill="FFFFFF"/>
        <w:spacing w:before="0" w:after="0"/>
        <w:jc w:val="both"/>
        <w:rPr>
          <w:rFonts w:cs="Arial"/>
          <w:color w:val="000000"/>
          <w:szCs w:val="24"/>
          <w:lang w:val="de-DE"/>
        </w:rPr>
      </w:pPr>
      <w:r w:rsidRPr="00144A4B">
        <w:rPr>
          <w:rFonts w:cs="Arial"/>
          <w:color w:val="000000"/>
          <w:szCs w:val="24"/>
          <w:lang w:val="de-DE"/>
        </w:rPr>
        <w:t xml:space="preserve">Weitere Informationen über </w:t>
      </w:r>
      <w:proofErr w:type="spellStart"/>
      <w:r w:rsidRPr="00144A4B">
        <w:rPr>
          <w:rFonts w:cs="Arial"/>
          <w:color w:val="000000"/>
          <w:szCs w:val="24"/>
          <w:lang w:val="de-DE"/>
        </w:rPr>
        <w:t>Platea</w:t>
      </w:r>
      <w:proofErr w:type="spellEnd"/>
      <w:r w:rsidRPr="00144A4B">
        <w:rPr>
          <w:rFonts w:cs="Arial"/>
          <w:color w:val="000000"/>
          <w:szCs w:val="24"/>
          <w:lang w:val="de-DE"/>
        </w:rPr>
        <w:t xml:space="preserve"> Banking und ihre Leistungen oder eine Demo de</w:t>
      </w:r>
      <w:r>
        <w:rPr>
          <w:rFonts w:cs="Arial"/>
          <w:color w:val="000000"/>
          <w:szCs w:val="24"/>
          <w:lang w:val="de-DE"/>
        </w:rPr>
        <w:t xml:space="preserve">r Plattform erhalten Sie unter: </w:t>
      </w:r>
      <w:hyperlink r:id="rId8" w:history="1">
        <w:r w:rsidRPr="00B31F9E">
          <w:rPr>
            <w:rStyle w:val="Hyperlink"/>
            <w:rFonts w:cs="Arial"/>
            <w:szCs w:val="24"/>
            <w:lang w:val="de-DE"/>
          </w:rPr>
          <w:t>https://www.plateabanking.com/</w:t>
        </w:r>
      </w:hyperlink>
    </w:p>
    <w:p w14:paraId="682BD528" w14:textId="77777777" w:rsidR="00144A4B" w:rsidRPr="00144A4B" w:rsidRDefault="00144A4B" w:rsidP="00144A4B">
      <w:pPr>
        <w:pStyle w:val="Default"/>
        <w:jc w:val="both"/>
        <w:rPr>
          <w:rFonts w:ascii="Arial" w:hAnsi="Arial" w:cs="Arial"/>
          <w:sz w:val="20"/>
          <w:lang w:val="de-AT"/>
        </w:rPr>
      </w:pPr>
    </w:p>
    <w:p w14:paraId="5B0B2AB1" w14:textId="07C211E1" w:rsidR="00144A4B" w:rsidRPr="00144A4B" w:rsidRDefault="00144A4B" w:rsidP="00144A4B">
      <w:pPr>
        <w:pStyle w:val="StandardWeb"/>
        <w:ind w:right="-1"/>
        <w:jc w:val="both"/>
        <w:rPr>
          <w:rFonts w:ascii="Arial" w:eastAsiaTheme="minorHAnsi" w:hAnsi="Arial" w:cs="Arial"/>
          <w:b/>
          <w:bCs/>
          <w:color w:val="000000" w:themeColor="text1"/>
          <w:sz w:val="20"/>
          <w:szCs w:val="22"/>
          <w:lang w:val="de-DE" w:eastAsia="en-US"/>
        </w:rPr>
      </w:pPr>
      <w:r w:rsidRPr="00144A4B">
        <w:rPr>
          <w:rFonts w:ascii="Arial" w:eastAsiaTheme="minorHAnsi" w:hAnsi="Arial" w:cs="Arial"/>
          <w:b/>
          <w:color w:val="000000"/>
          <w:sz w:val="20"/>
          <w:lang w:val="de-DE" w:eastAsia="en-US"/>
        </w:rPr>
        <w:lastRenderedPageBreak/>
        <w:t xml:space="preserve">Über </w:t>
      </w:r>
      <w:proofErr w:type="spellStart"/>
      <w:r w:rsidRPr="00144A4B">
        <w:rPr>
          <w:rFonts w:ascii="Arial" w:eastAsiaTheme="minorHAnsi" w:hAnsi="Arial" w:cs="Arial"/>
          <w:b/>
          <w:color w:val="000000"/>
          <w:sz w:val="20"/>
          <w:lang w:val="de-DE" w:eastAsia="en-US"/>
        </w:rPr>
        <w:t>Platea</w:t>
      </w:r>
      <w:proofErr w:type="spellEnd"/>
      <w:r w:rsidRPr="00144A4B">
        <w:rPr>
          <w:rFonts w:ascii="Arial" w:eastAsiaTheme="minorHAnsi" w:hAnsi="Arial" w:cs="Arial"/>
          <w:b/>
          <w:color w:val="000000"/>
          <w:sz w:val="20"/>
          <w:lang w:val="de-DE" w:eastAsia="en-US"/>
        </w:rPr>
        <w:t xml:space="preserve"> Banking</w:t>
      </w:r>
    </w:p>
    <w:p w14:paraId="5671BD0A" w14:textId="76BB22E5" w:rsidR="00144A4B" w:rsidRDefault="00144A4B" w:rsidP="00144A4B">
      <w:pPr>
        <w:shd w:val="clear" w:color="auto" w:fill="FFFFFF"/>
        <w:spacing w:before="0" w:after="0"/>
        <w:jc w:val="both"/>
        <w:rPr>
          <w:rFonts w:cs="Arial"/>
          <w:color w:val="000000"/>
          <w:szCs w:val="24"/>
          <w:lang w:val="de-DE"/>
        </w:rPr>
      </w:pPr>
      <w:proofErr w:type="spellStart"/>
      <w:r w:rsidRPr="00144A4B">
        <w:rPr>
          <w:rFonts w:cs="Arial"/>
          <w:color w:val="000000"/>
          <w:szCs w:val="24"/>
          <w:lang w:val="de-DE"/>
        </w:rPr>
        <w:t>Platea</w:t>
      </w:r>
      <w:proofErr w:type="spellEnd"/>
      <w:r w:rsidRPr="00144A4B">
        <w:rPr>
          <w:rFonts w:cs="Arial"/>
          <w:color w:val="000000"/>
          <w:szCs w:val="24"/>
          <w:lang w:val="de-DE"/>
        </w:rPr>
        <w:t xml:space="preserve"> Banking ist eine markenrechtlich geschützte offene Banking-Plattform, die von der NTT DATA Corporation entwickelt wurde. </w:t>
      </w:r>
      <w:proofErr w:type="spellStart"/>
      <w:r w:rsidRPr="00144A4B">
        <w:rPr>
          <w:rFonts w:cs="Arial"/>
          <w:color w:val="000000"/>
          <w:szCs w:val="24"/>
          <w:lang w:val="de-DE"/>
        </w:rPr>
        <w:t>Platea</w:t>
      </w:r>
      <w:proofErr w:type="spellEnd"/>
      <w:r w:rsidRPr="00144A4B">
        <w:rPr>
          <w:rFonts w:cs="Arial"/>
          <w:color w:val="000000"/>
          <w:szCs w:val="24"/>
          <w:lang w:val="de-DE"/>
        </w:rPr>
        <w:t xml:space="preserve"> Banking wurde mithilfe einer digitalen Architektur der nächsten Generation gegründet, um die anspruchsvollsten Geschäftsvorhaben und Unternehmen der Finanzdienstleistungsbranche zu unterstützen. Sie hilft, herkömmliche Infrastrukturen durch fortschrittliche Kernmodernisierung zu transformieren und unterstützt dabei gleichzeitig Banken und sonstige Unternehmen der Finanzdienstleistungsbranche, neue Wachstumsfelder mithilfe von </w:t>
      </w:r>
      <w:proofErr w:type="spellStart"/>
      <w:r w:rsidRPr="00144A4B">
        <w:rPr>
          <w:rFonts w:cs="Arial"/>
          <w:color w:val="000000"/>
          <w:szCs w:val="24"/>
          <w:lang w:val="de-DE"/>
        </w:rPr>
        <w:t>Greenfield</w:t>
      </w:r>
      <w:proofErr w:type="spellEnd"/>
      <w:r w:rsidRPr="00144A4B">
        <w:rPr>
          <w:rFonts w:cs="Arial"/>
          <w:color w:val="000000"/>
          <w:szCs w:val="24"/>
          <w:lang w:val="de-DE"/>
        </w:rPr>
        <w:t xml:space="preserve">-Technologiebausteinen zu erschließen. Dies versetzt sie heute in die Lage, ihre Geschäfte zu betreiben und mit neuen digitalen Akteuren zu konkurrieren und die Weichen für den künftigen Erfolg zu stellen. Weitere Informationen über </w:t>
      </w:r>
      <w:proofErr w:type="spellStart"/>
      <w:r>
        <w:rPr>
          <w:rFonts w:cs="Arial"/>
          <w:color w:val="000000"/>
          <w:szCs w:val="24"/>
          <w:lang w:val="de-DE"/>
        </w:rPr>
        <w:t>Platea</w:t>
      </w:r>
      <w:proofErr w:type="spellEnd"/>
      <w:r>
        <w:rPr>
          <w:rFonts w:cs="Arial"/>
          <w:color w:val="000000"/>
          <w:szCs w:val="24"/>
          <w:lang w:val="de-DE"/>
        </w:rPr>
        <w:t xml:space="preserve"> Banking finden Sie unter </w:t>
      </w:r>
      <w:hyperlink r:id="rId9" w:history="1">
        <w:r w:rsidRPr="00B31F9E">
          <w:rPr>
            <w:rStyle w:val="Hyperlink"/>
            <w:rFonts w:cs="Arial"/>
            <w:szCs w:val="24"/>
            <w:lang w:val="de-DE"/>
          </w:rPr>
          <w:t>https://www.plateabanking.com/</w:t>
        </w:r>
      </w:hyperlink>
    </w:p>
    <w:p w14:paraId="6A087B70" w14:textId="77777777" w:rsidR="00144A4B" w:rsidRPr="00144A4B" w:rsidRDefault="00144A4B" w:rsidP="00144A4B">
      <w:pPr>
        <w:shd w:val="clear" w:color="auto" w:fill="FFFFFF"/>
        <w:spacing w:before="0" w:after="0"/>
        <w:jc w:val="both"/>
        <w:rPr>
          <w:rFonts w:cs="Arial"/>
          <w:color w:val="000000"/>
          <w:szCs w:val="24"/>
          <w:lang w:val="de-DE"/>
        </w:rPr>
      </w:pPr>
    </w:p>
    <w:p w14:paraId="2DF095A9" w14:textId="72B8CA3F" w:rsidR="00F81BA4" w:rsidRPr="000F0622" w:rsidRDefault="00220154" w:rsidP="00144A4B">
      <w:pPr>
        <w:pStyle w:val="StandardWeb"/>
        <w:ind w:right="-1"/>
        <w:jc w:val="both"/>
        <w:rPr>
          <w:rFonts w:ascii="Arial" w:eastAsiaTheme="minorHAnsi" w:hAnsi="Arial" w:cs="Arial"/>
          <w:b/>
          <w:bCs/>
          <w:color w:val="000000" w:themeColor="text1"/>
          <w:sz w:val="20"/>
          <w:szCs w:val="22"/>
          <w:lang w:val="de-DE" w:eastAsia="en-US"/>
        </w:rPr>
      </w:pPr>
      <w:r>
        <w:rPr>
          <w:rFonts w:ascii="Arial" w:eastAsiaTheme="minorHAnsi" w:hAnsi="Arial" w:cs="Arial"/>
          <w:b/>
          <w:bCs/>
          <w:color w:val="000000" w:themeColor="text1"/>
          <w:sz w:val="20"/>
          <w:szCs w:val="22"/>
          <w:lang w:val="de-DE" w:eastAsia="en-US"/>
        </w:rPr>
        <w:t>Über NTT D</w:t>
      </w:r>
      <w:r w:rsidR="00316301">
        <w:rPr>
          <w:rFonts w:ascii="Arial" w:eastAsiaTheme="minorHAnsi" w:hAnsi="Arial" w:cs="Arial"/>
          <w:b/>
          <w:bCs/>
          <w:color w:val="000000" w:themeColor="text1"/>
          <w:sz w:val="20"/>
          <w:szCs w:val="22"/>
          <w:lang w:val="de-DE" w:eastAsia="en-US"/>
        </w:rPr>
        <w:t>ATA</w:t>
      </w:r>
    </w:p>
    <w:p w14:paraId="01AA2FE4" w14:textId="37247D8C" w:rsidR="00F81BA4" w:rsidRDefault="00F81BA4" w:rsidP="00144A4B">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sidR="00341BB1">
        <w:rPr>
          <w:rFonts w:ascii="Arial" w:eastAsiaTheme="minorHAnsi" w:hAnsi="Arial" w:cs="Arial"/>
          <w:color w:val="000000" w:themeColor="text1"/>
          <w:sz w:val="20"/>
          <w:szCs w:val="22"/>
          <w:lang w:val="de-DE" w:eastAsia="en-US"/>
        </w:rPr>
        <w:t xml:space="preserve">eitere Informationen finden Sie für </w:t>
      </w:r>
    </w:p>
    <w:p w14:paraId="067ED316" w14:textId="3690B101" w:rsidR="00341BB1" w:rsidRDefault="00341BB1" w:rsidP="00144A4B">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383477E7" w14:textId="3472F3CE" w:rsidR="003A0772" w:rsidRPr="000F0622" w:rsidRDefault="003A0772" w:rsidP="003A0772">
      <w:pPr>
        <w:spacing w:before="0" w:after="200" w:line="276" w:lineRule="auto"/>
        <w:rPr>
          <w:rFonts w:cs="Arial"/>
          <w:b/>
          <w:color w:val="000000" w:themeColor="text1"/>
          <w:lang w:val="de-DE"/>
        </w:rPr>
      </w:pPr>
      <w:r w:rsidRPr="000F0622">
        <w:rPr>
          <w:rFonts w:cs="Arial"/>
          <w:b/>
          <w:color w:val="000000" w:themeColor="text1"/>
          <w:lang w:val="de-DE"/>
        </w:rPr>
        <w:t>Pressekontakt</w:t>
      </w:r>
      <w:r w:rsidR="00341BB1">
        <w:rPr>
          <w:rFonts w:cs="Arial"/>
          <w:b/>
          <w:color w:val="000000" w:themeColor="text1"/>
          <w:lang w:val="de-DE"/>
        </w:rPr>
        <w:t xml:space="preserve"> für Deutschland, Österreich und Schweiz</w:t>
      </w:r>
      <w:r w:rsidRPr="000F0622">
        <w:rPr>
          <w:rFonts w:cs="Arial"/>
          <w:b/>
          <w:color w:val="000000" w:themeColor="text1"/>
          <w:lang w:val="de-DE"/>
        </w:rPr>
        <w:t>:</w:t>
      </w:r>
    </w:p>
    <w:p w14:paraId="4FE89E3A" w14:textId="77777777" w:rsidR="003A0772" w:rsidRPr="00635BD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2A0AF196" w14:textId="77777777" w:rsidR="003A0772" w:rsidRPr="0069575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00E2CB28" w14:textId="77777777" w:rsidR="003A0772" w:rsidRPr="00BA5FDB" w:rsidRDefault="003A0772" w:rsidP="003A0772">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79871D6" w14:textId="77777777" w:rsidR="003A0772" w:rsidRPr="0069575E" w:rsidRDefault="003A0772" w:rsidP="003A0772">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4E53C9FA" w14:textId="2714B1D6" w:rsidR="003A0772" w:rsidRDefault="003A0772" w:rsidP="003A0772">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0" w:history="1">
        <w:r w:rsidRPr="000F0622">
          <w:rPr>
            <w:rStyle w:val="Hyperlink"/>
            <w:rFonts w:ascii="Arial" w:hAnsi="Arial" w:cs="Arial"/>
            <w:color w:val="auto"/>
            <w:sz w:val="20"/>
            <w:szCs w:val="20"/>
            <w:lang w:val="de-DE"/>
          </w:rPr>
          <w:t>Katja.Friedrich@nttdata.com</w:t>
        </w:r>
      </w:hyperlink>
    </w:p>
    <w:p w14:paraId="3B55BC6B" w14:textId="00071ABA" w:rsidR="00144A4B" w:rsidRPr="000717E2" w:rsidRDefault="00144A4B" w:rsidP="00144A4B">
      <w:pPr>
        <w:shd w:val="clear" w:color="auto" w:fill="FFFFFF"/>
        <w:spacing w:after="334" w:line="360" w:lineRule="atLeast"/>
        <w:rPr>
          <w:rFonts w:cs="Arial"/>
          <w:b/>
          <w:color w:val="auto"/>
        </w:rPr>
      </w:pPr>
      <w:proofErr w:type="spellStart"/>
      <w:r w:rsidRPr="000717E2">
        <w:rPr>
          <w:rFonts w:cs="Arial"/>
          <w:b/>
          <w:color w:val="auto"/>
        </w:rPr>
        <w:t>Pressekontakt</w:t>
      </w:r>
      <w:proofErr w:type="spellEnd"/>
      <w:r w:rsidRPr="000717E2">
        <w:rPr>
          <w:rFonts w:cs="Arial"/>
          <w:b/>
          <w:color w:val="auto"/>
        </w:rPr>
        <w:t xml:space="preserve"> NTT DATA Corporation</w:t>
      </w:r>
    </w:p>
    <w:p w14:paraId="27990077" w14:textId="649821CE" w:rsidR="00144A4B" w:rsidRPr="000717E2" w:rsidRDefault="00144A4B" w:rsidP="00144A4B">
      <w:pPr>
        <w:shd w:val="clear" w:color="auto" w:fill="FFFFFF"/>
        <w:spacing w:before="0" w:after="0"/>
        <w:rPr>
          <w:rFonts w:cs="Arial"/>
          <w:color w:val="auto"/>
          <w:szCs w:val="20"/>
        </w:rPr>
      </w:pPr>
      <w:r w:rsidRPr="000717E2">
        <w:rPr>
          <w:rFonts w:cs="Arial"/>
          <w:color w:val="auto"/>
          <w:szCs w:val="20"/>
        </w:rPr>
        <w:t>Global Marketing Headquarters</w:t>
      </w:r>
    </w:p>
    <w:p w14:paraId="0B07BE19" w14:textId="77777777" w:rsidR="00144A4B" w:rsidRPr="000717E2" w:rsidRDefault="00144A4B" w:rsidP="00144A4B">
      <w:pPr>
        <w:shd w:val="clear" w:color="auto" w:fill="FFFFFF"/>
        <w:spacing w:before="0" w:after="0"/>
        <w:rPr>
          <w:rFonts w:cs="Arial"/>
          <w:color w:val="auto"/>
          <w:szCs w:val="20"/>
          <w:lang w:val="de-AT"/>
        </w:rPr>
      </w:pPr>
      <w:r w:rsidRPr="000717E2">
        <w:rPr>
          <w:rFonts w:cs="Arial"/>
          <w:color w:val="auto"/>
          <w:szCs w:val="20"/>
          <w:lang w:val="de-AT"/>
        </w:rPr>
        <w:t>Kaoru Kumashiro</w:t>
      </w:r>
    </w:p>
    <w:p w14:paraId="3D05A315" w14:textId="31E97C45" w:rsidR="004C4631" w:rsidRPr="000717E2" w:rsidRDefault="00144A4B" w:rsidP="00144A4B">
      <w:pPr>
        <w:shd w:val="clear" w:color="auto" w:fill="FFFFFF"/>
        <w:spacing w:before="0" w:after="0"/>
        <w:rPr>
          <w:rFonts w:cs="Arial"/>
          <w:color w:val="auto"/>
          <w:szCs w:val="20"/>
          <w:u w:val="single"/>
          <w:lang w:val="de-AT"/>
        </w:rPr>
      </w:pPr>
      <w:r w:rsidRPr="000717E2">
        <w:rPr>
          <w:rFonts w:cs="Arial"/>
          <w:color w:val="auto"/>
          <w:szCs w:val="20"/>
          <w:lang w:val="de-DE"/>
        </w:rPr>
        <w:t xml:space="preserve">E-Mail: </w:t>
      </w:r>
      <w:hyperlink r:id="rId11" w:history="1">
        <w:r w:rsidRPr="000717E2">
          <w:rPr>
            <w:rFonts w:cs="Arial"/>
            <w:color w:val="auto"/>
            <w:szCs w:val="20"/>
            <w:u w:val="single"/>
            <w:lang w:val="de-AT"/>
          </w:rPr>
          <w:t>global-marketing@kits.nttdata.co.jp</w:t>
        </w:r>
      </w:hyperlink>
    </w:p>
    <w:sectPr w:rsidR="004C4631" w:rsidRPr="000717E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BDA29" w14:textId="77777777" w:rsidR="00327B4A" w:rsidRDefault="00327B4A">
      <w:pPr>
        <w:spacing w:before="0" w:after="0"/>
      </w:pPr>
      <w:r>
        <w:separator/>
      </w:r>
    </w:p>
  </w:endnote>
  <w:endnote w:type="continuationSeparator" w:id="0">
    <w:p w14:paraId="55C00751" w14:textId="77777777" w:rsidR="00327B4A" w:rsidRDefault="00327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AE2C" w14:textId="77777777" w:rsidR="00681466" w:rsidRDefault="00681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4F1C" w14:textId="77777777" w:rsidR="00681466" w:rsidRDefault="006814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4AA9" w14:textId="77777777" w:rsidR="00681466" w:rsidRDefault="006814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7558" w14:textId="77777777" w:rsidR="00327B4A" w:rsidRDefault="00327B4A">
      <w:pPr>
        <w:spacing w:before="0" w:after="0"/>
      </w:pPr>
      <w:r>
        <w:separator/>
      </w:r>
    </w:p>
  </w:footnote>
  <w:footnote w:type="continuationSeparator" w:id="0">
    <w:p w14:paraId="52CB2B91" w14:textId="77777777" w:rsidR="00327B4A" w:rsidRDefault="00327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E7D8" w14:textId="77777777" w:rsidR="00681466" w:rsidRDefault="00681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6BB2" w14:textId="77777777" w:rsidR="00681466" w:rsidRDefault="006814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86"/>
    <w:multiLevelType w:val="multilevel"/>
    <w:tmpl w:val="07F24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30365336"/>
    <w:multiLevelType w:val="hybridMultilevel"/>
    <w:tmpl w:val="1556F126"/>
    <w:lvl w:ilvl="0" w:tplc="04070001">
      <w:start w:val="1"/>
      <w:numFmt w:val="bullet"/>
      <w:lvlText w:val=""/>
      <w:lvlJc w:val="left"/>
      <w:pPr>
        <w:ind w:left="1280" w:hanging="360"/>
      </w:pPr>
      <w:rPr>
        <w:rFonts w:ascii="Symbol" w:hAnsi="Symbol" w:hint="default"/>
      </w:rPr>
    </w:lvl>
    <w:lvl w:ilvl="1" w:tplc="04070003" w:tentative="1">
      <w:start w:val="1"/>
      <w:numFmt w:val="bullet"/>
      <w:lvlText w:val="o"/>
      <w:lvlJc w:val="left"/>
      <w:pPr>
        <w:ind w:left="2000" w:hanging="360"/>
      </w:pPr>
      <w:rPr>
        <w:rFonts w:ascii="Courier New" w:hAnsi="Courier New" w:cs="Courier New" w:hint="default"/>
      </w:rPr>
    </w:lvl>
    <w:lvl w:ilvl="2" w:tplc="04070005" w:tentative="1">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cs="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cs="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7BAB19F4"/>
    <w:multiLevelType w:val="multilevel"/>
    <w:tmpl w:val="A6D4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3"/>
  </w:num>
  <w:num w:numId="3">
    <w:abstractNumId w:val="2"/>
  </w:num>
  <w:num w:numId="4">
    <w:abstractNumId w:val="6"/>
  </w:num>
  <w:num w:numId="5">
    <w:abstractNumId w:val="14"/>
  </w:num>
  <w:num w:numId="6">
    <w:abstractNumId w:val="9"/>
  </w:num>
  <w:num w:numId="7">
    <w:abstractNumId w:val="15"/>
  </w:num>
  <w:num w:numId="8">
    <w:abstractNumId w:val="5"/>
  </w:num>
  <w:num w:numId="9">
    <w:abstractNumId w:val="7"/>
  </w:num>
  <w:num w:numId="10">
    <w:abstractNumId w:val="17"/>
  </w:num>
  <w:num w:numId="11">
    <w:abstractNumId w:val="11"/>
  </w:num>
  <w:num w:numId="12">
    <w:abstractNumId w:val="8"/>
  </w:num>
  <w:num w:numId="13">
    <w:abstractNumId w:val="12"/>
  </w:num>
  <w:num w:numId="14">
    <w:abstractNumId w:val="10"/>
  </w:num>
  <w:num w:numId="15">
    <w:abstractNumId w:val="1"/>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6" w:nlCheck="1" w:checkStyle="1"/>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562B"/>
    <w:rsid w:val="00017B71"/>
    <w:rsid w:val="00031412"/>
    <w:rsid w:val="00037638"/>
    <w:rsid w:val="000457F3"/>
    <w:rsid w:val="00054BBA"/>
    <w:rsid w:val="000568DF"/>
    <w:rsid w:val="000717E2"/>
    <w:rsid w:val="000966DE"/>
    <w:rsid w:val="000B0EFE"/>
    <w:rsid w:val="000B74A0"/>
    <w:rsid w:val="000C06D5"/>
    <w:rsid w:val="000C41F8"/>
    <w:rsid w:val="000C478E"/>
    <w:rsid w:val="000C6A8E"/>
    <w:rsid w:val="000D4EC7"/>
    <w:rsid w:val="000E65E0"/>
    <w:rsid w:val="000F0622"/>
    <w:rsid w:val="000F14D3"/>
    <w:rsid w:val="000F43F2"/>
    <w:rsid w:val="0012097A"/>
    <w:rsid w:val="00136EB9"/>
    <w:rsid w:val="001403B1"/>
    <w:rsid w:val="001441C2"/>
    <w:rsid w:val="00144A4B"/>
    <w:rsid w:val="00145B41"/>
    <w:rsid w:val="00182E62"/>
    <w:rsid w:val="00190165"/>
    <w:rsid w:val="00192E26"/>
    <w:rsid w:val="001A0B62"/>
    <w:rsid w:val="001B1603"/>
    <w:rsid w:val="001B7400"/>
    <w:rsid w:val="001C0959"/>
    <w:rsid w:val="001D7450"/>
    <w:rsid w:val="001E08B8"/>
    <w:rsid w:val="001E184D"/>
    <w:rsid w:val="00201F27"/>
    <w:rsid w:val="00202627"/>
    <w:rsid w:val="00205C03"/>
    <w:rsid w:val="00213A27"/>
    <w:rsid w:val="00215BB7"/>
    <w:rsid w:val="00220154"/>
    <w:rsid w:val="00225E17"/>
    <w:rsid w:val="00236A53"/>
    <w:rsid w:val="002569EB"/>
    <w:rsid w:val="00266DD0"/>
    <w:rsid w:val="00283967"/>
    <w:rsid w:val="00283EAA"/>
    <w:rsid w:val="00292973"/>
    <w:rsid w:val="00297ABE"/>
    <w:rsid w:val="002A215D"/>
    <w:rsid w:val="002A7F01"/>
    <w:rsid w:val="002B13F6"/>
    <w:rsid w:val="002B5733"/>
    <w:rsid w:val="002B5EE9"/>
    <w:rsid w:val="002C2C0D"/>
    <w:rsid w:val="002C4217"/>
    <w:rsid w:val="002D4C61"/>
    <w:rsid w:val="00301D48"/>
    <w:rsid w:val="00312861"/>
    <w:rsid w:val="00316301"/>
    <w:rsid w:val="00323668"/>
    <w:rsid w:val="00327B4A"/>
    <w:rsid w:val="003369B5"/>
    <w:rsid w:val="00341BB1"/>
    <w:rsid w:val="00345D39"/>
    <w:rsid w:val="00354715"/>
    <w:rsid w:val="00355F14"/>
    <w:rsid w:val="00384DAA"/>
    <w:rsid w:val="0039598E"/>
    <w:rsid w:val="003A0772"/>
    <w:rsid w:val="003A2A07"/>
    <w:rsid w:val="003A2ECB"/>
    <w:rsid w:val="003A5C5A"/>
    <w:rsid w:val="003C3A73"/>
    <w:rsid w:val="003D4A48"/>
    <w:rsid w:val="003E4644"/>
    <w:rsid w:val="003E4F67"/>
    <w:rsid w:val="003E727A"/>
    <w:rsid w:val="003F4F4E"/>
    <w:rsid w:val="003F6B9A"/>
    <w:rsid w:val="004010DC"/>
    <w:rsid w:val="00403821"/>
    <w:rsid w:val="004041B2"/>
    <w:rsid w:val="004157B7"/>
    <w:rsid w:val="0041613F"/>
    <w:rsid w:val="00441890"/>
    <w:rsid w:val="004470BD"/>
    <w:rsid w:val="004569EA"/>
    <w:rsid w:val="0045722C"/>
    <w:rsid w:val="00460492"/>
    <w:rsid w:val="00462BBF"/>
    <w:rsid w:val="004706DC"/>
    <w:rsid w:val="00474171"/>
    <w:rsid w:val="00475D8D"/>
    <w:rsid w:val="004927CC"/>
    <w:rsid w:val="004A3A73"/>
    <w:rsid w:val="004A47F9"/>
    <w:rsid w:val="004C404E"/>
    <w:rsid w:val="004C4631"/>
    <w:rsid w:val="004D5FA2"/>
    <w:rsid w:val="004F492E"/>
    <w:rsid w:val="004F555B"/>
    <w:rsid w:val="004F72A0"/>
    <w:rsid w:val="00501410"/>
    <w:rsid w:val="005054E3"/>
    <w:rsid w:val="0053468B"/>
    <w:rsid w:val="005410EB"/>
    <w:rsid w:val="00574B77"/>
    <w:rsid w:val="005821A8"/>
    <w:rsid w:val="00595912"/>
    <w:rsid w:val="005A29D4"/>
    <w:rsid w:val="005B15B8"/>
    <w:rsid w:val="005B2545"/>
    <w:rsid w:val="005B7499"/>
    <w:rsid w:val="005D02AA"/>
    <w:rsid w:val="005D7AAF"/>
    <w:rsid w:val="005E1A65"/>
    <w:rsid w:val="005E46CF"/>
    <w:rsid w:val="005F00DD"/>
    <w:rsid w:val="005F3C67"/>
    <w:rsid w:val="005F5EDB"/>
    <w:rsid w:val="006021E0"/>
    <w:rsid w:val="00613DCA"/>
    <w:rsid w:val="00634387"/>
    <w:rsid w:val="00635BDE"/>
    <w:rsid w:val="00653A66"/>
    <w:rsid w:val="00672423"/>
    <w:rsid w:val="006758EA"/>
    <w:rsid w:val="00681466"/>
    <w:rsid w:val="006860E3"/>
    <w:rsid w:val="0069575E"/>
    <w:rsid w:val="006A5A67"/>
    <w:rsid w:val="006B72DF"/>
    <w:rsid w:val="006C2982"/>
    <w:rsid w:val="006C3817"/>
    <w:rsid w:val="006E2CF6"/>
    <w:rsid w:val="006E651E"/>
    <w:rsid w:val="006F46CF"/>
    <w:rsid w:val="00704633"/>
    <w:rsid w:val="00704D9F"/>
    <w:rsid w:val="007169E2"/>
    <w:rsid w:val="00731B4F"/>
    <w:rsid w:val="00737860"/>
    <w:rsid w:val="00747813"/>
    <w:rsid w:val="007547B2"/>
    <w:rsid w:val="00760957"/>
    <w:rsid w:val="00761A66"/>
    <w:rsid w:val="00763F5C"/>
    <w:rsid w:val="0077210A"/>
    <w:rsid w:val="00774C5C"/>
    <w:rsid w:val="00776D17"/>
    <w:rsid w:val="00776D95"/>
    <w:rsid w:val="00781034"/>
    <w:rsid w:val="007817B4"/>
    <w:rsid w:val="00787990"/>
    <w:rsid w:val="007B2F15"/>
    <w:rsid w:val="007B6AE4"/>
    <w:rsid w:val="007B71CE"/>
    <w:rsid w:val="007C053C"/>
    <w:rsid w:val="007C59D6"/>
    <w:rsid w:val="007E39A8"/>
    <w:rsid w:val="007F393F"/>
    <w:rsid w:val="00801D6C"/>
    <w:rsid w:val="00807465"/>
    <w:rsid w:val="00814213"/>
    <w:rsid w:val="008154D7"/>
    <w:rsid w:val="0082069F"/>
    <w:rsid w:val="00826E29"/>
    <w:rsid w:val="00831CF9"/>
    <w:rsid w:val="00833D27"/>
    <w:rsid w:val="00851D33"/>
    <w:rsid w:val="00851D80"/>
    <w:rsid w:val="008528CB"/>
    <w:rsid w:val="00865560"/>
    <w:rsid w:val="00873A50"/>
    <w:rsid w:val="008758DD"/>
    <w:rsid w:val="00880802"/>
    <w:rsid w:val="00881443"/>
    <w:rsid w:val="00885E06"/>
    <w:rsid w:val="00890FBD"/>
    <w:rsid w:val="008A0094"/>
    <w:rsid w:val="008A0875"/>
    <w:rsid w:val="008A290A"/>
    <w:rsid w:val="008A5731"/>
    <w:rsid w:val="008A5F5A"/>
    <w:rsid w:val="008A6641"/>
    <w:rsid w:val="008B46C4"/>
    <w:rsid w:val="008B7F1E"/>
    <w:rsid w:val="008B7FC5"/>
    <w:rsid w:val="008D2BD2"/>
    <w:rsid w:val="008D60DD"/>
    <w:rsid w:val="008D7457"/>
    <w:rsid w:val="008E1E58"/>
    <w:rsid w:val="008E3163"/>
    <w:rsid w:val="008E3B08"/>
    <w:rsid w:val="008E6FEB"/>
    <w:rsid w:val="008F267F"/>
    <w:rsid w:val="008F7F4F"/>
    <w:rsid w:val="00902198"/>
    <w:rsid w:val="00903778"/>
    <w:rsid w:val="00905A9A"/>
    <w:rsid w:val="009079B1"/>
    <w:rsid w:val="009165D7"/>
    <w:rsid w:val="009253C1"/>
    <w:rsid w:val="009325DC"/>
    <w:rsid w:val="00946340"/>
    <w:rsid w:val="009742F4"/>
    <w:rsid w:val="00975B3E"/>
    <w:rsid w:val="009955E6"/>
    <w:rsid w:val="009B3843"/>
    <w:rsid w:val="009B74E3"/>
    <w:rsid w:val="009C71EF"/>
    <w:rsid w:val="009D21FF"/>
    <w:rsid w:val="009E0112"/>
    <w:rsid w:val="009E49F6"/>
    <w:rsid w:val="00A054A2"/>
    <w:rsid w:val="00A101F7"/>
    <w:rsid w:val="00A16A99"/>
    <w:rsid w:val="00A2156E"/>
    <w:rsid w:val="00A376B8"/>
    <w:rsid w:val="00A37AF3"/>
    <w:rsid w:val="00A41687"/>
    <w:rsid w:val="00A51516"/>
    <w:rsid w:val="00A53996"/>
    <w:rsid w:val="00A53BEE"/>
    <w:rsid w:val="00A628F7"/>
    <w:rsid w:val="00A64B53"/>
    <w:rsid w:val="00A72A81"/>
    <w:rsid w:val="00A75628"/>
    <w:rsid w:val="00A8543B"/>
    <w:rsid w:val="00A8742E"/>
    <w:rsid w:val="00A87F36"/>
    <w:rsid w:val="00AA4766"/>
    <w:rsid w:val="00AB1399"/>
    <w:rsid w:val="00AC182A"/>
    <w:rsid w:val="00AD44BF"/>
    <w:rsid w:val="00AD651A"/>
    <w:rsid w:val="00AD67B1"/>
    <w:rsid w:val="00AE4DEC"/>
    <w:rsid w:val="00AE5838"/>
    <w:rsid w:val="00AF442D"/>
    <w:rsid w:val="00AF5179"/>
    <w:rsid w:val="00B01623"/>
    <w:rsid w:val="00B0171C"/>
    <w:rsid w:val="00B03FDB"/>
    <w:rsid w:val="00B054BF"/>
    <w:rsid w:val="00B064CA"/>
    <w:rsid w:val="00B14F11"/>
    <w:rsid w:val="00B269D3"/>
    <w:rsid w:val="00B458DF"/>
    <w:rsid w:val="00B5162B"/>
    <w:rsid w:val="00B606EC"/>
    <w:rsid w:val="00B6556D"/>
    <w:rsid w:val="00B73502"/>
    <w:rsid w:val="00BA5FDB"/>
    <w:rsid w:val="00BB0F8A"/>
    <w:rsid w:val="00BB4F26"/>
    <w:rsid w:val="00BB6D93"/>
    <w:rsid w:val="00BC7470"/>
    <w:rsid w:val="00BE428E"/>
    <w:rsid w:val="00BE4645"/>
    <w:rsid w:val="00BF112D"/>
    <w:rsid w:val="00BF206B"/>
    <w:rsid w:val="00C01345"/>
    <w:rsid w:val="00C046DA"/>
    <w:rsid w:val="00C05E80"/>
    <w:rsid w:val="00C1023B"/>
    <w:rsid w:val="00C158D6"/>
    <w:rsid w:val="00C16C00"/>
    <w:rsid w:val="00C36B97"/>
    <w:rsid w:val="00C44208"/>
    <w:rsid w:val="00C56552"/>
    <w:rsid w:val="00C565EA"/>
    <w:rsid w:val="00C64677"/>
    <w:rsid w:val="00C6469B"/>
    <w:rsid w:val="00C7721C"/>
    <w:rsid w:val="00C80AAA"/>
    <w:rsid w:val="00C86523"/>
    <w:rsid w:val="00CA0B91"/>
    <w:rsid w:val="00CA2668"/>
    <w:rsid w:val="00CB2728"/>
    <w:rsid w:val="00CB68BF"/>
    <w:rsid w:val="00CB72F6"/>
    <w:rsid w:val="00CE1060"/>
    <w:rsid w:val="00CE2E35"/>
    <w:rsid w:val="00CE40D2"/>
    <w:rsid w:val="00CF419C"/>
    <w:rsid w:val="00CF56A1"/>
    <w:rsid w:val="00D00B73"/>
    <w:rsid w:val="00D055BE"/>
    <w:rsid w:val="00D10A9B"/>
    <w:rsid w:val="00D11C3B"/>
    <w:rsid w:val="00D17830"/>
    <w:rsid w:val="00D207F1"/>
    <w:rsid w:val="00D27B4B"/>
    <w:rsid w:val="00D27BBB"/>
    <w:rsid w:val="00D423BD"/>
    <w:rsid w:val="00D45CE6"/>
    <w:rsid w:val="00D47AB6"/>
    <w:rsid w:val="00D56AB5"/>
    <w:rsid w:val="00D6297A"/>
    <w:rsid w:val="00D70359"/>
    <w:rsid w:val="00D70FD5"/>
    <w:rsid w:val="00D73BE5"/>
    <w:rsid w:val="00D753C4"/>
    <w:rsid w:val="00D81AB4"/>
    <w:rsid w:val="00D82B4D"/>
    <w:rsid w:val="00D84C7C"/>
    <w:rsid w:val="00D90A26"/>
    <w:rsid w:val="00D93B3E"/>
    <w:rsid w:val="00DA4400"/>
    <w:rsid w:val="00DD7663"/>
    <w:rsid w:val="00DF4C95"/>
    <w:rsid w:val="00E04E4E"/>
    <w:rsid w:val="00E15A14"/>
    <w:rsid w:val="00E17CA7"/>
    <w:rsid w:val="00E25A1D"/>
    <w:rsid w:val="00E46864"/>
    <w:rsid w:val="00E6608D"/>
    <w:rsid w:val="00E7599E"/>
    <w:rsid w:val="00E76E8C"/>
    <w:rsid w:val="00E82042"/>
    <w:rsid w:val="00E83C41"/>
    <w:rsid w:val="00E92285"/>
    <w:rsid w:val="00E93ADD"/>
    <w:rsid w:val="00EC2875"/>
    <w:rsid w:val="00EC5516"/>
    <w:rsid w:val="00EE15C8"/>
    <w:rsid w:val="00EE6EC8"/>
    <w:rsid w:val="00EE7049"/>
    <w:rsid w:val="00F001BB"/>
    <w:rsid w:val="00F22096"/>
    <w:rsid w:val="00F25AFE"/>
    <w:rsid w:val="00F43C5E"/>
    <w:rsid w:val="00F550F6"/>
    <w:rsid w:val="00F6009E"/>
    <w:rsid w:val="00F73DAF"/>
    <w:rsid w:val="00F77E45"/>
    <w:rsid w:val="00F81BA4"/>
    <w:rsid w:val="00F81EE1"/>
    <w:rsid w:val="00F9165D"/>
    <w:rsid w:val="00F96DDA"/>
    <w:rsid w:val="00F97A05"/>
    <w:rsid w:val="00FA4D32"/>
    <w:rsid w:val="00FA641C"/>
    <w:rsid w:val="00FC5C6F"/>
    <w:rsid w:val="00FD1713"/>
    <w:rsid w:val="00FD1ED8"/>
    <w:rsid w:val="00FD4BD1"/>
    <w:rsid w:val="00FE1A33"/>
    <w:rsid w:val="00FF79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63F5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5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19623436">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19406884">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67297285">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eabankin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marketing@kits.nttdata.c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ja.Friedrich@nttdat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teabankin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9478-D2ED-4B4A-9EA3-E6B439A3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2020-01-27T15:21:00Z</cp:lastPrinted>
  <dcterms:created xsi:type="dcterms:W3CDTF">2021-03-10T16:45:00Z</dcterms:created>
  <dcterms:modified xsi:type="dcterms:W3CDTF">2021-03-10T16:45:00Z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