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342F9B" w:rsidP="005E3785">
      <w:pPr>
        <w:tabs>
          <w:tab w:val="left" w:pos="4962"/>
        </w:tabs>
        <w:ind w:right="3456"/>
        <w:rPr>
          <w:rFonts w:ascii="Arial" w:hAnsi="Arial" w:cs="Arial"/>
          <w:sz w:val="28"/>
          <w:szCs w:val="28"/>
        </w:rPr>
      </w:pPr>
      <w:bookmarkStart w:id="0" w:name="_GoBack"/>
      <w:bookmarkEnd w:id="0"/>
    </w:p>
    <w:p w14:paraId="01919692" w14:textId="0D65B545" w:rsidR="00845677" w:rsidRPr="00634EE4" w:rsidRDefault="00845677" w:rsidP="005E1D39">
      <w:pPr>
        <w:spacing w:line="360" w:lineRule="auto"/>
        <w:ind w:right="1008"/>
        <w:rPr>
          <w:rFonts w:ascii="Arial" w:hAnsi="Arial" w:cs="Arial"/>
          <w:sz w:val="28"/>
          <w:szCs w:val="28"/>
          <w:lang w:val="en-US"/>
        </w:rPr>
      </w:pPr>
    </w:p>
    <w:p w14:paraId="55051681" w14:textId="4719268D" w:rsidR="00026CA2" w:rsidRPr="00B538CC" w:rsidRDefault="00026CA2" w:rsidP="00026CA2">
      <w:pPr>
        <w:pStyle w:val="Default"/>
        <w:jc w:val="center"/>
        <w:rPr>
          <w:rFonts w:ascii="Arial" w:hAnsi="Arial" w:cs="Arial"/>
          <w:b/>
          <w:noProof/>
          <w:color w:val="222222"/>
          <w:sz w:val="28"/>
          <w:szCs w:val="28"/>
          <w:lang w:val="de-AT"/>
        </w:rPr>
      </w:pPr>
      <w:r w:rsidRPr="00B538CC">
        <w:rPr>
          <w:rFonts w:ascii="Arial" w:hAnsi="Arial" w:cs="Arial"/>
          <w:b/>
          <w:noProof/>
          <w:color w:val="222222"/>
          <w:sz w:val="28"/>
          <w:szCs w:val="28"/>
          <w:lang w:val="de-AT"/>
        </w:rPr>
        <w:t xml:space="preserve">NTT DATA </w:t>
      </w:r>
      <w:r w:rsidR="0050729E">
        <w:rPr>
          <w:rFonts w:ascii="Arial" w:hAnsi="Arial" w:cs="Arial"/>
          <w:b/>
          <w:noProof/>
          <w:color w:val="222222"/>
          <w:sz w:val="28"/>
          <w:szCs w:val="28"/>
          <w:lang w:val="de-AT"/>
        </w:rPr>
        <w:t xml:space="preserve">und NTT DATA Business Solutions </w:t>
      </w:r>
      <w:r w:rsidRPr="00B538CC">
        <w:rPr>
          <w:rFonts w:ascii="Arial" w:hAnsi="Arial" w:cs="Arial"/>
          <w:b/>
          <w:noProof/>
          <w:color w:val="222222"/>
          <w:sz w:val="28"/>
          <w:szCs w:val="28"/>
          <w:lang w:val="de-AT"/>
        </w:rPr>
        <w:t>zum 3. Mal unter den Top 5 der IT-Beratungen in Deutschland</w:t>
      </w:r>
    </w:p>
    <w:p w14:paraId="716F560F" w14:textId="77777777" w:rsidR="00634EE4" w:rsidRPr="00026CA2" w:rsidRDefault="00634EE4" w:rsidP="00634EE4">
      <w:pPr>
        <w:pStyle w:val="paragraph"/>
        <w:spacing w:before="0" w:beforeAutospacing="0" w:after="0" w:afterAutospacing="0"/>
        <w:ind w:right="1417"/>
        <w:jc w:val="center"/>
        <w:rPr>
          <w:rStyle w:val="Fett"/>
          <w:rFonts w:ascii="Arial" w:eastAsia="Arial" w:hAnsi="Arial" w:cs="Arial"/>
          <w:lang w:val="de-AT"/>
        </w:rPr>
      </w:pPr>
    </w:p>
    <w:p w14:paraId="1A334632" w14:textId="3E0F19FC" w:rsidR="00026CA2" w:rsidRPr="00B538CC" w:rsidRDefault="00026CA2" w:rsidP="00026CA2">
      <w:pPr>
        <w:pStyle w:val="Default"/>
        <w:jc w:val="center"/>
        <w:rPr>
          <w:rFonts w:ascii="Arial" w:hAnsi="Arial" w:cs="Arial"/>
          <w:bCs/>
          <w:lang w:val="de-DE"/>
        </w:rPr>
      </w:pPr>
      <w:r w:rsidRPr="00026CA2">
        <w:rPr>
          <w:rFonts w:ascii="Arial" w:hAnsi="Arial" w:cs="Arial"/>
          <w:bCs/>
          <w:lang w:val="de-AT"/>
        </w:rPr>
        <w:t xml:space="preserve">Lünendonk-Liste 2021: NTT DATA </w:t>
      </w:r>
      <w:r w:rsidR="0050729E">
        <w:rPr>
          <w:rFonts w:ascii="Arial" w:hAnsi="Arial" w:cs="Arial"/>
          <w:bCs/>
          <w:lang w:val="de-AT"/>
        </w:rPr>
        <w:t xml:space="preserve">und NTT </w:t>
      </w:r>
      <w:r w:rsidR="009876A3">
        <w:rPr>
          <w:rFonts w:ascii="Arial" w:hAnsi="Arial" w:cs="Arial"/>
          <w:bCs/>
          <w:lang w:val="de-AT"/>
        </w:rPr>
        <w:t xml:space="preserve">DATA </w:t>
      </w:r>
      <w:r w:rsidR="0050729E">
        <w:rPr>
          <w:rFonts w:ascii="Arial" w:hAnsi="Arial" w:cs="Arial"/>
          <w:bCs/>
          <w:lang w:val="de-AT"/>
        </w:rPr>
        <w:t xml:space="preserve">Business Solutions </w:t>
      </w:r>
      <w:r w:rsidRPr="00026CA2">
        <w:rPr>
          <w:rFonts w:ascii="Arial" w:hAnsi="Arial" w:cs="Arial"/>
          <w:bCs/>
          <w:lang w:val="de-AT"/>
        </w:rPr>
        <w:t>behaupte</w:t>
      </w:r>
      <w:r w:rsidR="0050729E">
        <w:rPr>
          <w:rFonts w:ascii="Arial" w:hAnsi="Arial" w:cs="Arial"/>
          <w:bCs/>
          <w:lang w:val="de-AT"/>
        </w:rPr>
        <w:t>n</w:t>
      </w:r>
      <w:r w:rsidRPr="00026CA2">
        <w:rPr>
          <w:rFonts w:ascii="Arial" w:hAnsi="Arial" w:cs="Arial"/>
          <w:bCs/>
          <w:lang w:val="de-AT"/>
        </w:rPr>
        <w:t xml:space="preserve"> sich im Corona-Jahr als führende IT-Dienstleister</w:t>
      </w:r>
    </w:p>
    <w:p w14:paraId="619E8122" w14:textId="1FB5BD7E" w:rsidR="00634EE4" w:rsidRPr="00026CA2" w:rsidRDefault="00634EE4" w:rsidP="00634EE4">
      <w:pPr>
        <w:pStyle w:val="paragraph"/>
        <w:spacing w:before="0" w:beforeAutospacing="0" w:after="0" w:afterAutospacing="0"/>
        <w:ind w:right="1417"/>
        <w:jc w:val="center"/>
        <w:rPr>
          <w:rFonts w:ascii="Arial" w:hAnsi="Arial" w:cs="Arial"/>
        </w:rPr>
      </w:pPr>
    </w:p>
    <w:p w14:paraId="0246E53E" w14:textId="77777777" w:rsidR="00634EE4" w:rsidRPr="00B538CC" w:rsidRDefault="00634EE4" w:rsidP="005E1D39">
      <w:pPr>
        <w:pStyle w:val="Listenabsatz"/>
        <w:spacing w:after="0" w:line="240" w:lineRule="auto"/>
        <w:ind w:right="3456"/>
        <w:contextualSpacing w:val="0"/>
        <w:rPr>
          <w:rFonts w:ascii="Arial" w:hAnsi="Arial" w:cs="Arial"/>
          <w:lang w:val="de-DE"/>
        </w:rPr>
      </w:pPr>
    </w:p>
    <w:p w14:paraId="3CF42577" w14:textId="06DFC8D9" w:rsidR="00026CA2" w:rsidRDefault="000B6171" w:rsidP="00026CA2">
      <w:pPr>
        <w:rPr>
          <w:rFonts w:ascii="Arial" w:hAnsi="Arial" w:cs="Arial"/>
          <w:sz w:val="20"/>
          <w:szCs w:val="20"/>
          <w:lang w:val="de-DE"/>
        </w:rPr>
      </w:pPr>
      <w:r>
        <w:rPr>
          <w:rFonts w:ascii="Arial" w:hAnsi="Arial" w:cs="Arial"/>
          <w:b/>
          <w:sz w:val="20"/>
          <w:szCs w:val="20"/>
          <w:lang w:val="de-DE"/>
        </w:rPr>
        <w:t>München, 23</w:t>
      </w:r>
      <w:r w:rsidR="00026CA2" w:rsidRPr="00026CA2">
        <w:rPr>
          <w:rFonts w:ascii="Arial" w:hAnsi="Arial" w:cs="Arial"/>
          <w:b/>
          <w:sz w:val="20"/>
          <w:szCs w:val="20"/>
          <w:lang w:val="de-DE"/>
        </w:rPr>
        <w:t>. Juni 202</w:t>
      </w:r>
      <w:r w:rsidR="009876A3">
        <w:rPr>
          <w:rFonts w:ascii="Arial" w:hAnsi="Arial" w:cs="Arial"/>
          <w:b/>
          <w:sz w:val="20"/>
          <w:szCs w:val="20"/>
          <w:lang w:val="de-DE"/>
        </w:rPr>
        <w:t>1</w:t>
      </w:r>
      <w:r w:rsidR="00026CA2" w:rsidRPr="00026CA2">
        <w:rPr>
          <w:rFonts w:ascii="Arial" w:hAnsi="Arial" w:cs="Arial"/>
          <w:sz w:val="20"/>
          <w:szCs w:val="20"/>
          <w:lang w:val="de-DE"/>
        </w:rPr>
        <w:t xml:space="preserve"> – </w:t>
      </w:r>
      <w:hyperlink r:id="rId7" w:history="1">
        <w:r w:rsidR="0050729E" w:rsidRPr="005F410F">
          <w:rPr>
            <w:rStyle w:val="Hyperlink"/>
            <w:rFonts w:ascii="Arial" w:hAnsi="Arial" w:cs="Arial"/>
            <w:sz w:val="20"/>
            <w:szCs w:val="20"/>
            <w:lang w:val="de-DE"/>
          </w:rPr>
          <w:t>NTT DATA</w:t>
        </w:r>
      </w:hyperlink>
      <w:r w:rsidR="0050729E">
        <w:rPr>
          <w:rFonts w:ascii="Arial" w:hAnsi="Arial" w:cs="Arial"/>
          <w:sz w:val="20"/>
          <w:szCs w:val="20"/>
          <w:lang w:val="de-DE"/>
        </w:rPr>
        <w:t xml:space="preserve">, </w:t>
      </w:r>
      <w:r w:rsidR="0050729E" w:rsidRPr="00634EE4">
        <w:rPr>
          <w:rFonts w:ascii="Arial" w:hAnsi="Arial" w:cs="Arial"/>
          <w:sz w:val="20"/>
          <w:szCs w:val="20"/>
          <w:lang w:val="de-AT"/>
        </w:rPr>
        <w:t>ein globaler Marktführer für digitale Geschäfts- und IT-Dienstleistungen</w:t>
      </w:r>
      <w:r w:rsidR="0050729E">
        <w:rPr>
          <w:rFonts w:ascii="Arial" w:hAnsi="Arial" w:cs="Arial"/>
          <w:sz w:val="20"/>
          <w:szCs w:val="20"/>
          <w:lang w:val="de-AT"/>
        </w:rPr>
        <w:t>,</w:t>
      </w:r>
      <w:r w:rsidR="0050729E">
        <w:rPr>
          <w:rFonts w:ascii="Arial" w:hAnsi="Arial" w:cs="Arial"/>
          <w:color w:val="000000" w:themeColor="text1"/>
          <w:sz w:val="20"/>
          <w:szCs w:val="22"/>
          <w:lang w:val="de-DE"/>
        </w:rPr>
        <w:t xml:space="preserve"> und </w:t>
      </w:r>
      <w:hyperlink r:id="rId8" w:history="1">
        <w:r w:rsidR="0050729E" w:rsidRPr="0050729E">
          <w:rPr>
            <w:rStyle w:val="Hyperlink"/>
            <w:rFonts w:ascii="Arial" w:hAnsi="Arial" w:cs="Arial"/>
            <w:sz w:val="20"/>
            <w:szCs w:val="22"/>
            <w:lang w:val="de-DE"/>
          </w:rPr>
          <w:t xml:space="preserve">NTT DATA Business </w:t>
        </w:r>
        <w:proofErr w:type="spellStart"/>
        <w:r w:rsidR="0050729E" w:rsidRPr="0050729E">
          <w:rPr>
            <w:rStyle w:val="Hyperlink"/>
            <w:rFonts w:ascii="Arial" w:hAnsi="Arial" w:cs="Arial"/>
            <w:sz w:val="20"/>
            <w:szCs w:val="22"/>
            <w:lang w:val="de-DE"/>
          </w:rPr>
          <w:t>Solut</w:t>
        </w:r>
        <w:r w:rsidR="0050729E" w:rsidRPr="0050729E">
          <w:rPr>
            <w:rStyle w:val="Hyperlink"/>
            <w:rFonts w:ascii="Arial" w:hAnsi="Arial" w:cs="Arial"/>
            <w:sz w:val="20"/>
            <w:szCs w:val="20"/>
            <w:lang w:val="de-AT"/>
          </w:rPr>
          <w:t>ions</w:t>
        </w:r>
        <w:proofErr w:type="spellEnd"/>
      </w:hyperlink>
      <w:r w:rsidR="0050729E" w:rsidRPr="0050729E">
        <w:rPr>
          <w:rFonts w:ascii="Arial" w:hAnsi="Arial" w:cs="Arial"/>
          <w:sz w:val="20"/>
          <w:szCs w:val="20"/>
          <w:lang w:val="de-AT"/>
        </w:rPr>
        <w:t>, einer der weltweit größten SAP-Partner,</w:t>
      </w:r>
      <w:r w:rsidR="0050729E">
        <w:rPr>
          <w:rFonts w:ascii="Arial" w:hAnsi="Arial" w:cs="Arial"/>
          <w:sz w:val="20"/>
          <w:szCs w:val="20"/>
          <w:lang w:val="de-AT"/>
        </w:rPr>
        <w:t xml:space="preserve"> </w:t>
      </w:r>
      <w:r w:rsidR="00026CA2" w:rsidRPr="0050729E">
        <w:rPr>
          <w:rFonts w:ascii="Arial" w:hAnsi="Arial" w:cs="Arial"/>
          <w:sz w:val="20"/>
          <w:szCs w:val="20"/>
          <w:lang w:val="de-AT"/>
        </w:rPr>
        <w:t>beleg</w:t>
      </w:r>
      <w:r w:rsidR="0050729E">
        <w:rPr>
          <w:rFonts w:ascii="Arial" w:hAnsi="Arial" w:cs="Arial"/>
          <w:sz w:val="20"/>
          <w:szCs w:val="20"/>
          <w:lang w:val="de-AT"/>
        </w:rPr>
        <w:t>en</w:t>
      </w:r>
      <w:r w:rsidR="00026CA2" w:rsidRPr="0050729E">
        <w:rPr>
          <w:rFonts w:ascii="Arial" w:hAnsi="Arial" w:cs="Arial"/>
          <w:sz w:val="20"/>
          <w:szCs w:val="20"/>
          <w:lang w:val="de-AT"/>
        </w:rPr>
        <w:t xml:space="preserve"> auf der „Lünendonk Liste 2021" wie </w:t>
      </w:r>
      <w:proofErr w:type="spellStart"/>
      <w:r w:rsidR="00026CA2" w:rsidRPr="0050729E">
        <w:rPr>
          <w:rFonts w:ascii="Arial" w:hAnsi="Arial" w:cs="Arial"/>
          <w:sz w:val="20"/>
          <w:szCs w:val="20"/>
          <w:lang w:val="de-AT"/>
        </w:rPr>
        <w:t>sc</w:t>
      </w:r>
      <w:proofErr w:type="spellEnd"/>
      <w:r w:rsidR="00026CA2" w:rsidRPr="00026CA2">
        <w:rPr>
          <w:rFonts w:ascii="Arial" w:hAnsi="Arial" w:cs="Arial"/>
          <w:sz w:val="20"/>
          <w:szCs w:val="20"/>
          <w:lang w:val="de-DE"/>
        </w:rPr>
        <w:t xml:space="preserve">hon in den beiden Vorjahren Platz 5. Der Umsatz stieg 2020 im Vergleich zum Vorjahr in Deutschland von 800 Millionen Euro auf 840 Millionen Euro. Dies entspricht einem Wachstum von fünf Prozent. Die Angaben umfassen die Umsätze aus der </w:t>
      </w:r>
      <w:r w:rsidR="0050729E" w:rsidRPr="00026CA2">
        <w:rPr>
          <w:rFonts w:ascii="Arial" w:hAnsi="Arial" w:cs="Arial"/>
          <w:sz w:val="20"/>
          <w:szCs w:val="20"/>
          <w:lang w:val="de-DE"/>
        </w:rPr>
        <w:t xml:space="preserve">NTT DATA Deutschland GmbH </w:t>
      </w:r>
      <w:r w:rsidR="0050729E">
        <w:rPr>
          <w:rFonts w:ascii="Arial" w:hAnsi="Arial" w:cs="Arial"/>
          <w:sz w:val="20"/>
          <w:szCs w:val="20"/>
          <w:lang w:val="de-DE"/>
        </w:rPr>
        <w:t xml:space="preserve">und der </w:t>
      </w:r>
      <w:r w:rsidR="00026CA2" w:rsidRPr="00026CA2">
        <w:rPr>
          <w:rFonts w:ascii="Arial" w:hAnsi="Arial" w:cs="Arial"/>
          <w:sz w:val="20"/>
          <w:szCs w:val="20"/>
          <w:lang w:val="de-DE"/>
        </w:rPr>
        <w:t>NTT DATA Business Solutions AG (ehemals itelligence AG).</w:t>
      </w:r>
    </w:p>
    <w:p w14:paraId="00DDAB8D" w14:textId="77777777" w:rsidR="00026CA2" w:rsidRPr="00026CA2" w:rsidRDefault="00026CA2" w:rsidP="00026CA2">
      <w:pPr>
        <w:rPr>
          <w:rFonts w:ascii="Arial" w:hAnsi="Arial" w:cs="Arial"/>
          <w:sz w:val="20"/>
          <w:szCs w:val="20"/>
          <w:lang w:val="de-DE"/>
        </w:rPr>
      </w:pPr>
    </w:p>
    <w:p w14:paraId="7D4E26F6" w14:textId="530AFB1E" w:rsidR="00026CA2" w:rsidRDefault="00026CA2" w:rsidP="00026CA2">
      <w:pPr>
        <w:rPr>
          <w:rFonts w:ascii="Arial" w:hAnsi="Arial" w:cs="Arial"/>
          <w:sz w:val="20"/>
          <w:szCs w:val="20"/>
          <w:lang w:val="de-DE"/>
        </w:rPr>
      </w:pPr>
      <w:r w:rsidRPr="00026CA2">
        <w:rPr>
          <w:rFonts w:ascii="Arial" w:hAnsi="Arial" w:cs="Arial"/>
          <w:sz w:val="20"/>
          <w:szCs w:val="20"/>
          <w:lang w:val="de-DE"/>
        </w:rPr>
        <w:t xml:space="preserve">Wie von </w:t>
      </w:r>
      <w:proofErr w:type="spellStart"/>
      <w:r w:rsidRPr="00026CA2">
        <w:rPr>
          <w:rFonts w:ascii="Arial" w:hAnsi="Arial" w:cs="Arial"/>
          <w:sz w:val="20"/>
          <w:szCs w:val="20"/>
          <w:lang w:val="de-DE"/>
        </w:rPr>
        <w:t>Lünendonk</w:t>
      </w:r>
      <w:proofErr w:type="spellEnd"/>
      <w:r w:rsidRPr="00026CA2">
        <w:rPr>
          <w:rFonts w:ascii="Arial" w:hAnsi="Arial" w:cs="Arial"/>
          <w:sz w:val="20"/>
          <w:szCs w:val="20"/>
          <w:lang w:val="de-DE"/>
        </w:rPr>
        <w:t xml:space="preserve"> &amp; </w:t>
      </w:r>
      <w:proofErr w:type="spellStart"/>
      <w:r w:rsidRPr="00026CA2">
        <w:rPr>
          <w:rFonts w:ascii="Arial" w:hAnsi="Arial" w:cs="Arial"/>
          <w:sz w:val="20"/>
          <w:szCs w:val="20"/>
          <w:lang w:val="de-DE"/>
        </w:rPr>
        <w:t>Hossenfelder</w:t>
      </w:r>
      <w:proofErr w:type="spellEnd"/>
      <w:r w:rsidRPr="00026CA2">
        <w:rPr>
          <w:rFonts w:ascii="Arial" w:hAnsi="Arial" w:cs="Arial"/>
          <w:sz w:val="20"/>
          <w:szCs w:val="20"/>
          <w:lang w:val="de-DE"/>
        </w:rPr>
        <w:t xml:space="preserve"> erwartet, ist die allgemeine Nachfrage nach IT-Dienstleistungen im Corona-Jahr 2020 nicht eingebrochen, liegt jedoch unter dem Niveau des Vorjahres. Die 83 analysierten IT-Dienstleister steigerten 2020 ihre Umsätze in Deutschland um 2,7 Prozent auf ein Gesamtvolumen von 25 Milliarden Euro (2019: 24,3 Mrd. Euro). 2019 betrug das Wachstum noch 3,3 Prozent. </w:t>
      </w:r>
    </w:p>
    <w:p w14:paraId="67507EE5" w14:textId="77777777" w:rsidR="00026CA2" w:rsidRPr="00026CA2" w:rsidRDefault="00026CA2" w:rsidP="00026CA2">
      <w:pPr>
        <w:rPr>
          <w:rFonts w:ascii="Arial" w:hAnsi="Arial" w:cs="Arial"/>
          <w:sz w:val="20"/>
          <w:szCs w:val="20"/>
          <w:lang w:val="de-DE"/>
        </w:rPr>
      </w:pPr>
    </w:p>
    <w:p w14:paraId="3A399850" w14:textId="65D6FA05" w:rsidR="00026CA2" w:rsidRDefault="00026CA2" w:rsidP="00026CA2">
      <w:pPr>
        <w:rPr>
          <w:rFonts w:ascii="Arial" w:hAnsi="Arial" w:cs="Arial"/>
          <w:sz w:val="20"/>
          <w:szCs w:val="20"/>
          <w:lang w:val="de-DE"/>
        </w:rPr>
      </w:pPr>
      <w:r w:rsidRPr="00026CA2">
        <w:rPr>
          <w:rFonts w:ascii="Arial" w:hAnsi="Arial" w:cs="Arial"/>
          <w:sz w:val="20"/>
          <w:szCs w:val="20"/>
          <w:lang w:val="de-DE"/>
        </w:rPr>
        <w:t xml:space="preserve">Mario Zillmann, Analyst und Partner bei </w:t>
      </w:r>
      <w:proofErr w:type="spellStart"/>
      <w:r w:rsidRPr="00026CA2">
        <w:rPr>
          <w:rFonts w:ascii="Arial" w:hAnsi="Arial" w:cs="Arial"/>
          <w:sz w:val="20"/>
          <w:szCs w:val="20"/>
          <w:lang w:val="de-DE"/>
        </w:rPr>
        <w:t>Lünendonk</w:t>
      </w:r>
      <w:proofErr w:type="spellEnd"/>
      <w:r w:rsidRPr="00026CA2">
        <w:rPr>
          <w:rFonts w:ascii="Arial" w:hAnsi="Arial" w:cs="Arial"/>
          <w:sz w:val="20"/>
          <w:szCs w:val="20"/>
          <w:lang w:val="de-DE"/>
        </w:rPr>
        <w:t xml:space="preserve"> &amp; </w:t>
      </w:r>
      <w:proofErr w:type="spellStart"/>
      <w:r w:rsidRPr="00026CA2">
        <w:rPr>
          <w:rFonts w:ascii="Arial" w:hAnsi="Arial" w:cs="Arial"/>
          <w:sz w:val="20"/>
          <w:szCs w:val="20"/>
          <w:lang w:val="de-DE"/>
        </w:rPr>
        <w:t>Hossenfelder</w:t>
      </w:r>
      <w:proofErr w:type="spellEnd"/>
      <w:r w:rsidR="00E15BD0">
        <w:rPr>
          <w:rFonts w:ascii="Arial" w:hAnsi="Arial" w:cs="Arial"/>
          <w:sz w:val="20"/>
          <w:szCs w:val="20"/>
          <w:lang w:val="de-DE"/>
        </w:rPr>
        <w:t>,</w:t>
      </w:r>
      <w:r w:rsidRPr="00026CA2">
        <w:rPr>
          <w:rFonts w:ascii="Arial" w:hAnsi="Arial" w:cs="Arial"/>
          <w:sz w:val="20"/>
          <w:szCs w:val="20"/>
          <w:lang w:val="de-DE"/>
        </w:rPr>
        <w:t xml:space="preserve"> über die Entwicklung: „Der mit Beginn der Corona-Pandemie einsetzende Digitalisierungsschub generierte viele Aufträge im Bereich der Entwicklung und Umsetzung digitaler und datenbasierter Geschäftsmodelle, IT-Modernisierung sowie die Migration von IT-Anwendungen in die Cloud. Vor allem aber investierten Unternehmen massiv in den Aufbau von Online-Vertriebskanälen, um den Wegfall physischer Absatzwege auszugleichen, wovon einige IT-Dienstleister besonders stark profitieren konnten</w:t>
      </w:r>
      <w:r w:rsidR="00E15BD0">
        <w:rPr>
          <w:rFonts w:ascii="Arial" w:hAnsi="Arial" w:cs="Arial"/>
          <w:sz w:val="20"/>
          <w:szCs w:val="20"/>
          <w:lang w:val="de-DE"/>
        </w:rPr>
        <w:t>.</w:t>
      </w:r>
      <w:r w:rsidRPr="00026CA2">
        <w:rPr>
          <w:rFonts w:ascii="Arial" w:hAnsi="Arial" w:cs="Arial"/>
          <w:sz w:val="20"/>
          <w:szCs w:val="20"/>
          <w:lang w:val="de-DE"/>
        </w:rPr>
        <w:t>“</w:t>
      </w:r>
    </w:p>
    <w:p w14:paraId="0C8BA663" w14:textId="77777777" w:rsidR="00026CA2" w:rsidRPr="00026CA2" w:rsidRDefault="00026CA2" w:rsidP="00026CA2">
      <w:pPr>
        <w:rPr>
          <w:rFonts w:ascii="Arial" w:hAnsi="Arial" w:cs="Arial"/>
          <w:sz w:val="20"/>
          <w:szCs w:val="20"/>
          <w:lang w:val="de-DE"/>
        </w:rPr>
      </w:pPr>
    </w:p>
    <w:p w14:paraId="0E1B5F7A" w14:textId="102B71D4" w:rsidR="00B5236F" w:rsidRDefault="00026CA2" w:rsidP="00B5236F">
      <w:pPr>
        <w:rPr>
          <w:rFonts w:ascii="Arial" w:hAnsi="Arial" w:cs="Arial"/>
          <w:color w:val="000000" w:themeColor="text1"/>
          <w:sz w:val="20"/>
          <w:szCs w:val="20"/>
          <w:lang w:val="de-DE"/>
        </w:rPr>
      </w:pPr>
      <w:r w:rsidRPr="00026CA2">
        <w:rPr>
          <w:rFonts w:ascii="Arial" w:hAnsi="Arial" w:cs="Arial"/>
          <w:sz w:val="20"/>
          <w:szCs w:val="20"/>
          <w:lang w:val="de-DE"/>
        </w:rPr>
        <w:t xml:space="preserve">Stefan Hansen, CEO </w:t>
      </w:r>
      <w:r w:rsidR="0050729E">
        <w:rPr>
          <w:rFonts w:ascii="Arial" w:hAnsi="Arial" w:cs="Arial"/>
          <w:sz w:val="20"/>
          <w:szCs w:val="20"/>
          <w:lang w:val="de-DE"/>
        </w:rPr>
        <w:t xml:space="preserve">und Geschäftsführer </w:t>
      </w:r>
      <w:r w:rsidRPr="00026CA2">
        <w:rPr>
          <w:rFonts w:ascii="Arial" w:hAnsi="Arial" w:cs="Arial"/>
          <w:sz w:val="20"/>
          <w:szCs w:val="20"/>
          <w:lang w:val="de-DE"/>
        </w:rPr>
        <w:t xml:space="preserve">der NTT DATA in DACH: </w:t>
      </w:r>
      <w:r w:rsidR="00B5236F">
        <w:rPr>
          <w:rFonts w:ascii="Arial" w:hAnsi="Arial" w:cs="Arial"/>
          <w:sz w:val="20"/>
          <w:lang w:val="de-DE"/>
        </w:rPr>
        <w:t>„</w:t>
      </w:r>
      <w:r w:rsidR="00B5236F">
        <w:rPr>
          <w:rFonts w:ascii="Arial" w:hAnsi="Arial" w:cs="Arial"/>
          <w:sz w:val="20"/>
          <w:szCs w:val="20"/>
          <w:lang w:val="de-DE"/>
        </w:rPr>
        <w:t>Die neuerliche Platzierung unter den Top 5 der IT-Dienstleister in Deutschland und das Wachstum über dem Durchschnitt unterstreich</w:t>
      </w:r>
      <w:r w:rsidR="00E15BD0">
        <w:rPr>
          <w:rFonts w:ascii="Arial" w:hAnsi="Arial" w:cs="Arial"/>
          <w:sz w:val="20"/>
          <w:szCs w:val="20"/>
          <w:lang w:val="de-DE"/>
        </w:rPr>
        <w:t>en</w:t>
      </w:r>
      <w:r w:rsidR="00B5236F">
        <w:rPr>
          <w:rFonts w:ascii="Arial" w:hAnsi="Arial" w:cs="Arial"/>
          <w:sz w:val="20"/>
          <w:szCs w:val="20"/>
          <w:lang w:val="de-DE"/>
        </w:rPr>
        <w:t xml:space="preserve"> unsere gute Marktposition. Das </w:t>
      </w:r>
      <w:r w:rsidR="00AC25F6">
        <w:rPr>
          <w:rFonts w:ascii="Arial" w:hAnsi="Arial" w:cs="Arial"/>
          <w:sz w:val="20"/>
          <w:szCs w:val="20"/>
          <w:lang w:val="de-DE"/>
        </w:rPr>
        <w:t xml:space="preserve">spiegelt sich auch in unseren steigenden Mitarbeiterzahlen wider und </w:t>
      </w:r>
      <w:r w:rsidR="00B5236F">
        <w:rPr>
          <w:rFonts w:ascii="Arial" w:hAnsi="Arial" w:cs="Arial"/>
          <w:sz w:val="20"/>
          <w:szCs w:val="20"/>
          <w:lang w:val="de-DE"/>
        </w:rPr>
        <w:t xml:space="preserve">bestätigt unseren </w:t>
      </w:r>
      <w:r w:rsidR="00410B2F">
        <w:rPr>
          <w:rFonts w:ascii="Arial" w:hAnsi="Arial" w:cs="Arial"/>
          <w:sz w:val="20"/>
          <w:szCs w:val="20"/>
          <w:lang w:val="de-DE"/>
        </w:rPr>
        <w:t>nachhaltigen und langfristigen Wachstumsk</w:t>
      </w:r>
      <w:r w:rsidR="00B5236F">
        <w:rPr>
          <w:rFonts w:ascii="Arial" w:hAnsi="Arial" w:cs="Arial"/>
          <w:sz w:val="20"/>
          <w:szCs w:val="20"/>
          <w:lang w:val="de-DE"/>
        </w:rPr>
        <w:t>urs.</w:t>
      </w:r>
      <w:r w:rsidR="00B5236F">
        <w:rPr>
          <w:rFonts w:ascii="Arial" w:hAnsi="Arial" w:cs="Arial"/>
          <w:sz w:val="20"/>
          <w:lang w:val="de-DE"/>
        </w:rPr>
        <w:t xml:space="preserve"> </w:t>
      </w:r>
      <w:r w:rsidR="00B5236F">
        <w:rPr>
          <w:rFonts w:ascii="Arial" w:hAnsi="Arial" w:cs="Arial"/>
          <w:sz w:val="20"/>
          <w:szCs w:val="20"/>
          <w:lang w:val="de-DE"/>
        </w:rPr>
        <w:t>Gemeinsam mit unseren Kunden beschleunigen wir die digitale Transformation und gestalten die vernetzte Zukunft vo</w:t>
      </w:r>
      <w:r w:rsidR="00B5236F">
        <w:rPr>
          <w:rFonts w:ascii="Arial" w:hAnsi="Arial" w:cs="Arial"/>
          <w:color w:val="000000" w:themeColor="text1"/>
          <w:sz w:val="20"/>
          <w:szCs w:val="20"/>
          <w:lang w:val="de-DE"/>
        </w:rPr>
        <w:t>n morgen.“</w:t>
      </w:r>
    </w:p>
    <w:p w14:paraId="029138E2" w14:textId="2267980A" w:rsidR="00B63F9C" w:rsidRDefault="00B63F9C" w:rsidP="00B63F9C">
      <w:pPr>
        <w:rPr>
          <w:rFonts w:ascii="Arial" w:hAnsi="Arial" w:cs="Arial"/>
          <w:color w:val="000000" w:themeColor="text1"/>
          <w:sz w:val="20"/>
          <w:szCs w:val="20"/>
          <w:lang w:val="de-DE"/>
        </w:rPr>
      </w:pPr>
    </w:p>
    <w:p w14:paraId="46D9BF41" w14:textId="4FC66393" w:rsidR="002056C9" w:rsidRPr="002056C9" w:rsidRDefault="002056C9" w:rsidP="002056C9">
      <w:pPr>
        <w:rPr>
          <w:rFonts w:ascii="Arial" w:hAnsi="Arial" w:cs="Arial"/>
          <w:sz w:val="20"/>
          <w:szCs w:val="20"/>
          <w:lang w:val="de-DE"/>
        </w:rPr>
      </w:pPr>
      <w:r w:rsidRPr="00B82C1A">
        <w:rPr>
          <w:rFonts w:ascii="Arial" w:hAnsi="Arial" w:cs="Arial"/>
          <w:sz w:val="20"/>
          <w:szCs w:val="20"/>
          <w:lang w:val="de-DE"/>
        </w:rPr>
        <w:t>Norbert Rotter, Vorstandsvorsitzender von NTT DATA Business Solutions AG, ehemals itelligence: „Wir freuen uns als weltweit führender SAP-Partner über die erneute Positionierung von NTT DATA unter den Top 5 der IT-Dienstleister in Deutschland. Mit unserem umfangreichen Industri</w:t>
      </w:r>
      <w:r w:rsidR="00B82C1A">
        <w:rPr>
          <w:rFonts w:ascii="Arial" w:hAnsi="Arial" w:cs="Arial"/>
          <w:sz w:val="20"/>
          <w:szCs w:val="20"/>
          <w:lang w:val="de-DE"/>
        </w:rPr>
        <w:t>e- und Branchenwissen sowie SAP-</w:t>
      </w:r>
      <w:r w:rsidRPr="00B82C1A">
        <w:rPr>
          <w:rFonts w:ascii="Arial" w:hAnsi="Arial" w:cs="Arial"/>
          <w:sz w:val="20"/>
          <w:szCs w:val="20"/>
          <w:lang w:val="de-DE"/>
        </w:rPr>
        <w:t>Innovationen unterstützen wir unsere Kunde</w:t>
      </w:r>
      <w:r w:rsidR="00624116">
        <w:rPr>
          <w:rFonts w:ascii="Arial" w:hAnsi="Arial" w:cs="Arial"/>
          <w:sz w:val="20"/>
          <w:szCs w:val="20"/>
          <w:lang w:val="de-DE"/>
        </w:rPr>
        <w:t xml:space="preserve">n, insbesondere im Mittelstand, </w:t>
      </w:r>
      <w:r w:rsidRPr="00B82C1A">
        <w:rPr>
          <w:rFonts w:ascii="Arial" w:hAnsi="Arial" w:cs="Arial"/>
          <w:sz w:val="20"/>
          <w:szCs w:val="20"/>
          <w:lang w:val="de-DE"/>
        </w:rPr>
        <w:t>als vertrauensvoller Digitalisierungspartner, ihr Potenzial voll zu entfalten – für ihren langfristigen Erfolg und eine nachhaltige Gesellschaft.“</w:t>
      </w:r>
    </w:p>
    <w:p w14:paraId="2D2B8784" w14:textId="20849345" w:rsidR="00D36E9F" w:rsidRPr="00026CA2" w:rsidRDefault="00D36E9F" w:rsidP="00026CA2">
      <w:pPr>
        <w:rPr>
          <w:rFonts w:ascii="Arial" w:hAnsi="Arial" w:cs="Arial"/>
          <w:color w:val="000000" w:themeColor="text1"/>
          <w:sz w:val="20"/>
          <w:szCs w:val="20"/>
          <w:lang w:val="de-DE"/>
        </w:rPr>
      </w:pPr>
    </w:p>
    <w:p w14:paraId="559DF51F" w14:textId="471BC59E" w:rsidR="00026CA2" w:rsidRDefault="00026CA2" w:rsidP="00026CA2">
      <w:pPr>
        <w:rPr>
          <w:rFonts w:ascii="Arial" w:hAnsi="Arial" w:cs="Arial"/>
          <w:sz w:val="20"/>
          <w:szCs w:val="20"/>
          <w:lang w:val="de-DE"/>
        </w:rPr>
      </w:pPr>
      <w:r w:rsidRPr="00026CA2">
        <w:rPr>
          <w:rFonts w:ascii="Arial" w:hAnsi="Arial" w:cs="Arial"/>
          <w:sz w:val="20"/>
          <w:szCs w:val="20"/>
          <w:lang w:val="de-DE"/>
        </w:rPr>
        <w:t xml:space="preserve">Die </w:t>
      </w:r>
      <w:proofErr w:type="spellStart"/>
      <w:r w:rsidRPr="00026CA2">
        <w:rPr>
          <w:rFonts w:ascii="Arial" w:hAnsi="Arial" w:cs="Arial"/>
          <w:sz w:val="20"/>
          <w:szCs w:val="20"/>
          <w:lang w:val="de-DE"/>
        </w:rPr>
        <w:t>Lünendonk</w:t>
      </w:r>
      <w:proofErr w:type="spellEnd"/>
      <w:r w:rsidRPr="00026CA2">
        <w:rPr>
          <w:rFonts w:ascii="Arial" w:hAnsi="Arial" w:cs="Arial"/>
          <w:sz w:val="20"/>
          <w:szCs w:val="20"/>
          <w:lang w:val="de-DE"/>
        </w:rPr>
        <w:t xml:space="preserve"> &amp; </w:t>
      </w:r>
      <w:proofErr w:type="spellStart"/>
      <w:r w:rsidRPr="00026CA2">
        <w:rPr>
          <w:rFonts w:ascii="Arial" w:hAnsi="Arial" w:cs="Arial"/>
          <w:sz w:val="20"/>
          <w:szCs w:val="20"/>
          <w:lang w:val="de-DE"/>
        </w:rPr>
        <w:t>Hossenfelder</w:t>
      </w:r>
      <w:proofErr w:type="spellEnd"/>
      <w:r w:rsidRPr="00026CA2">
        <w:rPr>
          <w:rFonts w:ascii="Arial" w:hAnsi="Arial" w:cs="Arial"/>
          <w:sz w:val="20"/>
          <w:szCs w:val="20"/>
          <w:lang w:val="de-DE"/>
        </w:rPr>
        <w:t xml:space="preserve"> GmbH bewertet bereits seit mehr als 20 Jahren die besten deutschen Dienstleistungsunternehmen und veröffentlicht die Ergebnisse in ihrer jährlich erscheinenden Lünendonk-Liste.</w:t>
      </w:r>
    </w:p>
    <w:p w14:paraId="0F790762" w14:textId="77777777" w:rsidR="00026CA2" w:rsidRPr="00026CA2" w:rsidRDefault="00026CA2" w:rsidP="00026CA2">
      <w:pPr>
        <w:rPr>
          <w:rFonts w:ascii="Arial" w:hAnsi="Arial" w:cs="Arial"/>
          <w:sz w:val="20"/>
          <w:szCs w:val="20"/>
          <w:lang w:val="de-DE"/>
        </w:rPr>
      </w:pPr>
    </w:p>
    <w:p w14:paraId="27D18978" w14:textId="77777777" w:rsidR="00026CA2" w:rsidRPr="00026CA2" w:rsidRDefault="00026CA2" w:rsidP="00026CA2">
      <w:pPr>
        <w:rPr>
          <w:rFonts w:ascii="Arial" w:hAnsi="Arial" w:cs="Arial"/>
          <w:sz w:val="20"/>
          <w:szCs w:val="20"/>
          <w:lang w:val="de-DE"/>
        </w:rPr>
      </w:pPr>
      <w:r w:rsidRPr="00026CA2">
        <w:rPr>
          <w:rFonts w:ascii="Arial" w:hAnsi="Arial" w:cs="Arial"/>
          <w:sz w:val="20"/>
          <w:szCs w:val="20"/>
          <w:lang w:val="de-DE"/>
        </w:rPr>
        <w:t xml:space="preserve">Zur vollständigen Liste: </w:t>
      </w:r>
      <w:hyperlink r:id="rId9" w:history="1">
        <w:r w:rsidRPr="00026CA2">
          <w:rPr>
            <w:rStyle w:val="Hyperlink"/>
            <w:rFonts w:ascii="Arial" w:hAnsi="Arial" w:cs="Arial"/>
            <w:sz w:val="20"/>
            <w:szCs w:val="20"/>
            <w:lang w:val="de-DE"/>
          </w:rPr>
          <w:t>https://www.luenendonk.de/aktuelles/presseinformationen/luenendonk-listen-2021-fuehrende-it-dienstleister-in-deutschland/</w:t>
        </w:r>
      </w:hyperlink>
    </w:p>
    <w:p w14:paraId="2C9386F4" w14:textId="6BAA860E" w:rsidR="00026CA2" w:rsidRDefault="00026CA2" w:rsidP="00026CA2">
      <w:pPr>
        <w:rPr>
          <w:rFonts w:ascii="Arial" w:hAnsi="Arial" w:cs="Arial"/>
          <w:sz w:val="20"/>
          <w:szCs w:val="20"/>
          <w:lang w:val="de-DE"/>
        </w:rPr>
      </w:pPr>
    </w:p>
    <w:p w14:paraId="07E5C9C4" w14:textId="77777777" w:rsidR="00026CA2" w:rsidRPr="00026CA2" w:rsidRDefault="00026CA2" w:rsidP="00026CA2">
      <w:pPr>
        <w:rPr>
          <w:rFonts w:ascii="Arial" w:hAnsi="Arial" w:cs="Arial"/>
          <w:sz w:val="20"/>
          <w:szCs w:val="20"/>
          <w:lang w:val="de-DE"/>
        </w:rPr>
      </w:pPr>
    </w:p>
    <w:p w14:paraId="3549326E" w14:textId="77777777" w:rsidR="00EF60B1" w:rsidRDefault="00EF60B1" w:rsidP="0013391B">
      <w:pPr>
        <w:rPr>
          <w:rFonts w:ascii="Arial" w:hAnsi="Arial" w:cs="Arial"/>
          <w:b/>
          <w:bCs/>
          <w:sz w:val="22"/>
          <w:szCs w:val="22"/>
          <w:lang w:val="de-AT"/>
        </w:rPr>
      </w:pPr>
    </w:p>
    <w:p w14:paraId="366799B9" w14:textId="77777777" w:rsidR="00EF60B1" w:rsidRDefault="00EF60B1" w:rsidP="0013391B">
      <w:pPr>
        <w:rPr>
          <w:rFonts w:ascii="Arial" w:hAnsi="Arial" w:cs="Arial"/>
          <w:b/>
          <w:bCs/>
          <w:sz w:val="22"/>
          <w:szCs w:val="22"/>
          <w:lang w:val="de-AT"/>
        </w:rPr>
      </w:pPr>
    </w:p>
    <w:p w14:paraId="4A872E10" w14:textId="542070AA" w:rsidR="00845677" w:rsidRDefault="00634EE4" w:rsidP="0013391B">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13391B">
      <w:pPr>
        <w:rPr>
          <w:rFonts w:ascii="Arial" w:hAnsi="Arial" w:cs="Arial"/>
          <w:b/>
          <w:bCs/>
          <w:sz w:val="22"/>
          <w:szCs w:val="22"/>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0" w:history="1">
        <w:r w:rsidR="00845677" w:rsidRPr="00634EE4">
          <w:rPr>
            <w:rStyle w:val="Hyperlink"/>
            <w:rFonts w:ascii="Arial" w:hAnsi="Arial" w:cs="Arial"/>
            <w:sz w:val="20"/>
            <w:szCs w:val="20"/>
          </w:rPr>
          <w:t>nttdata.com.</w:t>
        </w:r>
      </w:hyperlink>
    </w:p>
    <w:p w14:paraId="01FC064D" w14:textId="78CADA84" w:rsidR="00D35710" w:rsidRPr="0013391B" w:rsidRDefault="00D35710" w:rsidP="0013391B">
      <w:pPr>
        <w:rPr>
          <w:rFonts w:ascii="Arial" w:eastAsia="DengXian" w:hAnsi="Arial" w:cs="Arial"/>
          <w:sz w:val="20"/>
          <w:szCs w:val="20"/>
          <w:lang w:val="de-AT"/>
        </w:rPr>
      </w:pPr>
    </w:p>
    <w:p w14:paraId="02CECD1B" w14:textId="5BA51A6C" w:rsidR="00634EE4" w:rsidRPr="00634EE4" w:rsidRDefault="00634EE4" w:rsidP="00634EE4">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11"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2"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3"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634EE4" w:rsidRDefault="00634EE4" w:rsidP="00634EE4">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3002E820" w:rsidR="00FB6B76" w:rsidRDefault="00634EE4" w:rsidP="00634EE4">
      <w:pPr>
        <w:rPr>
          <w:rFonts w:ascii="Arial" w:hAnsi="Arial" w:cs="Arial"/>
          <w:sz w:val="20"/>
          <w:szCs w:val="20"/>
          <w:lang w:val="de-DE"/>
        </w:rPr>
      </w:pPr>
      <w:r w:rsidRPr="00634EE4">
        <w:rPr>
          <w:rFonts w:ascii="Arial" w:hAnsi="Arial" w:cs="Arial"/>
          <w:sz w:val="20"/>
          <w:szCs w:val="20"/>
          <w:lang w:val="de-DE"/>
        </w:rPr>
        <w:t xml:space="preserve">E-Mail: </w:t>
      </w:r>
      <w:r w:rsidRPr="00026CA2">
        <w:rPr>
          <w:rFonts w:ascii="Arial" w:hAnsi="Arial" w:cs="Arial"/>
          <w:sz w:val="20"/>
          <w:szCs w:val="20"/>
          <w:lang w:val="de-DE"/>
        </w:rPr>
        <w:t>cornelia.spitzer@nttdata.com</w:t>
      </w:r>
    </w:p>
    <w:p w14:paraId="7E4650E3" w14:textId="6A9A1B09"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026CA2" w:rsidRDefault="005E3785" w:rsidP="005E3785">
      <w:pPr>
        <w:pStyle w:val="StandardWeb"/>
        <w:spacing w:before="0" w:beforeAutospacing="0" w:after="0" w:afterAutospacing="0"/>
        <w:ind w:right="1417"/>
        <w:rPr>
          <w:rFonts w:ascii="Arial" w:eastAsiaTheme="minorHAnsi" w:hAnsi="Arial" w:cs="Arial"/>
          <w:sz w:val="20"/>
          <w:szCs w:val="20"/>
          <w:lang w:val="de-AT" w:eastAsia="en-US"/>
        </w:rPr>
      </w:pPr>
      <w:r w:rsidRPr="005E3785">
        <w:rPr>
          <w:rFonts w:ascii="Arial" w:eastAsiaTheme="minorHAnsi" w:hAnsi="Arial" w:cs="Arial"/>
          <w:color w:val="000000" w:themeColor="text1"/>
          <w:sz w:val="20"/>
          <w:szCs w:val="20"/>
          <w:lang w:val="de-AT" w:eastAsia="en-US"/>
        </w:rPr>
        <w:t>S</w:t>
      </w:r>
      <w:r w:rsidRPr="00026CA2">
        <w:rPr>
          <w:rFonts w:ascii="Arial" w:eastAsiaTheme="minorHAnsi" w:hAnsi="Arial" w:cs="Arial"/>
          <w:sz w:val="20"/>
          <w:szCs w:val="20"/>
          <w:lang w:val="de-AT" w:eastAsia="en-US"/>
        </w:rPr>
        <w:t>torymaker Agentur für Public Relations GmbH</w:t>
      </w:r>
    </w:p>
    <w:p w14:paraId="3FB241B9" w14:textId="77FFCF66" w:rsidR="005E3785" w:rsidRPr="00026CA2"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026CA2">
        <w:rPr>
          <w:rFonts w:ascii="Arial" w:eastAsiaTheme="minorHAnsi" w:hAnsi="Arial" w:cs="Arial"/>
          <w:sz w:val="20"/>
          <w:szCs w:val="20"/>
          <w:lang w:val="en-US" w:eastAsia="en-US"/>
        </w:rPr>
        <w:t>Gabriela Ölschläger</w:t>
      </w:r>
    </w:p>
    <w:p w14:paraId="2BC464C5" w14:textId="7E2B06C5" w:rsidR="005E3785" w:rsidRPr="00026CA2"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026CA2">
        <w:rPr>
          <w:rFonts w:ascii="Arial" w:eastAsiaTheme="minorHAnsi" w:hAnsi="Arial" w:cs="Arial"/>
          <w:sz w:val="20"/>
          <w:szCs w:val="20"/>
          <w:lang w:val="en-US" w:eastAsia="en-US"/>
        </w:rPr>
        <w:t>Senior Consultant</w:t>
      </w:r>
    </w:p>
    <w:p w14:paraId="53AFBCC2" w14:textId="5CEF3172" w:rsidR="005E3785" w:rsidRPr="00026CA2"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026CA2">
        <w:rPr>
          <w:rFonts w:ascii="Arial" w:eastAsiaTheme="minorHAnsi" w:hAnsi="Arial" w:cs="Arial"/>
          <w:sz w:val="20"/>
          <w:szCs w:val="20"/>
          <w:lang w:val="en-US" w:eastAsia="en-US"/>
        </w:rPr>
        <w:t>Tel.: +49 7071 93872 217</w:t>
      </w:r>
    </w:p>
    <w:p w14:paraId="241679E3" w14:textId="7A17F3A1" w:rsidR="005E3785" w:rsidRPr="00026CA2" w:rsidRDefault="005E3785" w:rsidP="005E3785">
      <w:pPr>
        <w:pStyle w:val="StandardWeb"/>
        <w:spacing w:before="0" w:beforeAutospacing="0" w:after="0" w:afterAutospacing="0"/>
        <w:ind w:right="1417"/>
        <w:rPr>
          <w:rStyle w:val="Hyperlink"/>
          <w:rFonts w:ascii="Arial" w:eastAsiaTheme="minorHAnsi" w:hAnsi="Arial" w:cs="Arial"/>
          <w:color w:val="auto"/>
          <w:sz w:val="20"/>
          <w:szCs w:val="20"/>
          <w:lang w:val="en-US" w:eastAsia="en-US"/>
        </w:rPr>
      </w:pPr>
      <w:r w:rsidRPr="00026CA2">
        <w:rPr>
          <w:rFonts w:ascii="Arial" w:eastAsiaTheme="minorHAnsi" w:hAnsi="Arial" w:cs="Arial"/>
          <w:sz w:val="20"/>
          <w:szCs w:val="20"/>
          <w:lang w:val="en-US" w:eastAsia="en-US"/>
        </w:rPr>
        <w:t>E-Mail: g.oelschlaeger@storymaker.de</w:t>
      </w:r>
    </w:p>
    <w:p w14:paraId="06A94E5F" w14:textId="4071969D" w:rsidR="00026CA2" w:rsidRPr="00026CA2" w:rsidRDefault="00026CA2" w:rsidP="005E3785">
      <w:pPr>
        <w:pStyle w:val="StandardWeb"/>
        <w:spacing w:before="0" w:beforeAutospacing="0" w:after="0" w:afterAutospacing="0"/>
        <w:ind w:right="1417"/>
        <w:rPr>
          <w:rStyle w:val="Hyperlink"/>
          <w:rFonts w:ascii="Arial" w:eastAsiaTheme="minorHAnsi" w:hAnsi="Arial" w:cs="Arial"/>
          <w:color w:val="auto"/>
          <w:sz w:val="20"/>
          <w:szCs w:val="20"/>
          <w:lang w:val="en-US" w:eastAsia="en-US"/>
        </w:rPr>
      </w:pPr>
    </w:p>
    <w:p w14:paraId="571F7E84" w14:textId="77777777" w:rsidR="00026CA2" w:rsidRPr="00026CA2" w:rsidRDefault="00026CA2" w:rsidP="005E3785">
      <w:pPr>
        <w:pStyle w:val="StandardWeb"/>
        <w:spacing w:before="0" w:beforeAutospacing="0" w:after="0" w:afterAutospacing="0"/>
        <w:ind w:right="1417"/>
        <w:rPr>
          <w:rStyle w:val="Hyperlink"/>
          <w:rFonts w:ascii="Arial" w:eastAsiaTheme="minorHAnsi" w:hAnsi="Arial" w:cs="Arial"/>
          <w:color w:val="auto"/>
          <w:sz w:val="20"/>
          <w:szCs w:val="20"/>
          <w:lang w:val="en-US" w:eastAsia="en-US"/>
        </w:rPr>
      </w:pPr>
    </w:p>
    <w:p w14:paraId="2A830DE9" w14:textId="77777777" w:rsidR="00D606D3" w:rsidRPr="00776ABD" w:rsidRDefault="00D606D3" w:rsidP="00D606D3">
      <w:pPr>
        <w:rPr>
          <w:rFonts w:ascii="Arial" w:hAnsi="Arial" w:cs="Arial"/>
          <w:b/>
          <w:bCs/>
          <w:sz w:val="22"/>
          <w:szCs w:val="22"/>
          <w:lang w:val="en-US"/>
        </w:rPr>
      </w:pPr>
      <w:r w:rsidRPr="00776ABD">
        <w:rPr>
          <w:rFonts w:ascii="Arial" w:hAnsi="Arial" w:cs="Arial"/>
          <w:b/>
          <w:bCs/>
          <w:sz w:val="22"/>
          <w:szCs w:val="22"/>
          <w:lang w:val="en-US"/>
        </w:rPr>
        <w:t>Über NTT DATA Business Solutions</w:t>
      </w:r>
    </w:p>
    <w:p w14:paraId="00B95BEB" w14:textId="77777777" w:rsidR="00D606D3" w:rsidRPr="00776ABD" w:rsidRDefault="00D606D3" w:rsidP="00D606D3">
      <w:pPr>
        <w:rPr>
          <w:rFonts w:ascii="Arial" w:hAnsi="Arial" w:cs="Arial"/>
          <w:b/>
          <w:bCs/>
          <w:sz w:val="22"/>
          <w:szCs w:val="22"/>
          <w:lang w:val="en-US"/>
        </w:rPr>
      </w:pPr>
    </w:p>
    <w:p w14:paraId="620809A8" w14:textId="77777777" w:rsidR="00D606D3" w:rsidRPr="00EF60B1" w:rsidRDefault="00D606D3" w:rsidP="00D606D3">
      <w:pPr>
        <w:pStyle w:val="StandardWeb"/>
        <w:spacing w:before="0" w:beforeAutospacing="0" w:after="0" w:afterAutospacing="0"/>
        <w:ind w:right="-1"/>
        <w:jc w:val="both"/>
        <w:rPr>
          <w:rFonts w:ascii="Arial" w:eastAsiaTheme="minorHAnsi" w:hAnsi="Arial" w:cs="Arial"/>
          <w:color w:val="000000" w:themeColor="text1"/>
          <w:sz w:val="20"/>
          <w:szCs w:val="22"/>
          <w:lang w:val="de-DE" w:eastAsia="en-US"/>
        </w:rPr>
      </w:pPr>
      <w:r w:rsidRPr="00EF60B1">
        <w:rPr>
          <w:rFonts w:ascii="Arial" w:eastAsiaTheme="minorHAnsi" w:hAnsi="Arial" w:cs="Arial"/>
          <w:color w:val="000000" w:themeColor="text1"/>
          <w:sz w:val="20"/>
          <w:szCs w:val="22"/>
          <w:lang w:val="de-DE" w:eastAsia="en-US"/>
        </w:rPr>
        <w:t xml:space="preserve">NTT DATA Business Solutions entwirft, implementiert, verwaltet und erweitert SAP-Lösungen kontinuierlich, damit Unternehmen und deren Mitarbeiter sie optimal nutzen können. Dabei greift NTT DATA Business Solutions auf ein herausragendes Know-how für SAP-Lösungen zurück, um das Business seiner Kunden mit den neuesten Technologien zu verknüpfen. </w:t>
      </w:r>
    </w:p>
    <w:p w14:paraId="69675037" w14:textId="77777777" w:rsidR="00D606D3" w:rsidRPr="00EF60B1" w:rsidRDefault="00D606D3" w:rsidP="00D606D3">
      <w:pPr>
        <w:pStyle w:val="StandardWeb"/>
        <w:spacing w:before="0" w:beforeAutospacing="0" w:after="0" w:afterAutospacing="0"/>
        <w:ind w:right="-1"/>
        <w:jc w:val="both"/>
        <w:rPr>
          <w:rFonts w:ascii="Arial" w:eastAsiaTheme="minorHAnsi" w:hAnsi="Arial" w:cs="Arial"/>
          <w:color w:val="000000" w:themeColor="text1"/>
          <w:sz w:val="20"/>
          <w:szCs w:val="22"/>
          <w:lang w:val="de-DE" w:eastAsia="en-US"/>
        </w:rPr>
      </w:pPr>
      <w:r w:rsidRPr="00EF60B1">
        <w:rPr>
          <w:rFonts w:ascii="Arial" w:eastAsiaTheme="minorHAnsi" w:hAnsi="Arial" w:cs="Arial"/>
          <w:color w:val="000000" w:themeColor="text1"/>
          <w:sz w:val="20"/>
          <w:szCs w:val="22"/>
          <w:lang w:val="de-DE" w:eastAsia="en-US"/>
        </w:rPr>
        <w:t xml:space="preserve">Als Teil der NTT DATA Gruppe und mit engen Beziehungen zu SAP und anderen Partnern bietet NTT DATA Business Solutions Kunden und Interessenten Zugang zu innovativen Lösungen und Entwicklungen und leistet damit einen wichtigen Beitrag zu Innovationen und zum langfristigen Geschäftserfolg. NTT DATA Business Solutions beschäftigt rund 11.000 Menschen in 30 Ländern. </w:t>
      </w:r>
    </w:p>
    <w:p w14:paraId="605B52C4" w14:textId="77777777" w:rsidR="00D606D3" w:rsidRPr="00776ABD" w:rsidRDefault="00D606D3" w:rsidP="00026CA2">
      <w:pPr>
        <w:pStyle w:val="StandardWeb"/>
        <w:spacing w:before="0" w:beforeAutospacing="0" w:after="0" w:afterAutospacing="0"/>
        <w:jc w:val="both"/>
        <w:rPr>
          <w:rFonts w:ascii="Arial" w:eastAsiaTheme="minorHAnsi" w:hAnsi="Arial" w:cs="Arial"/>
          <w:bCs/>
          <w:sz w:val="22"/>
          <w:szCs w:val="22"/>
          <w:lang w:val="de-AT" w:eastAsia="en-US"/>
        </w:rPr>
      </w:pPr>
    </w:p>
    <w:p w14:paraId="144EA717" w14:textId="77777777" w:rsidR="00026CA2" w:rsidRPr="00776ABD" w:rsidRDefault="00026CA2" w:rsidP="00026CA2">
      <w:pPr>
        <w:pStyle w:val="StandardWeb"/>
        <w:spacing w:before="0" w:beforeAutospacing="0" w:after="0" w:afterAutospacing="0"/>
        <w:jc w:val="both"/>
        <w:rPr>
          <w:rFonts w:ascii="Arial" w:eastAsiaTheme="minorHAnsi" w:hAnsi="Arial" w:cs="Arial"/>
          <w:bCs/>
          <w:sz w:val="20"/>
          <w:szCs w:val="20"/>
          <w:lang w:val="de-AT" w:eastAsia="en-US"/>
        </w:rPr>
      </w:pPr>
    </w:p>
    <w:p w14:paraId="286CE90A" w14:textId="77777777" w:rsidR="00026CA2" w:rsidRPr="00776ABD" w:rsidRDefault="00026CA2" w:rsidP="00026CA2">
      <w:pPr>
        <w:rPr>
          <w:rFonts w:ascii="Arial" w:hAnsi="Arial" w:cs="Arial"/>
          <w:b/>
          <w:szCs w:val="20"/>
          <w:lang w:val="de-AT"/>
        </w:rPr>
      </w:pPr>
      <w:r w:rsidRPr="00776ABD">
        <w:rPr>
          <w:rFonts w:ascii="Arial" w:hAnsi="Arial" w:cs="Arial"/>
          <w:b/>
          <w:sz w:val="20"/>
          <w:szCs w:val="20"/>
          <w:lang w:val="de-AT"/>
        </w:rPr>
        <w:t>Pressekontakt:</w:t>
      </w:r>
    </w:p>
    <w:p w14:paraId="7534DA47" w14:textId="77777777" w:rsidR="00026CA2" w:rsidRPr="00776ABD" w:rsidRDefault="00026CA2" w:rsidP="00026CA2">
      <w:pPr>
        <w:rPr>
          <w:rFonts w:ascii="Arial" w:hAnsi="Arial" w:cs="Arial"/>
          <w:b/>
          <w:sz w:val="20"/>
          <w:szCs w:val="20"/>
          <w:lang w:val="de-AT"/>
        </w:rPr>
      </w:pPr>
    </w:p>
    <w:p w14:paraId="07A6D819" w14:textId="77777777" w:rsidR="00026CA2" w:rsidRPr="00026CA2" w:rsidRDefault="00026CA2" w:rsidP="00026CA2">
      <w:pPr>
        <w:pStyle w:val="StandardWeb"/>
        <w:spacing w:before="0" w:beforeAutospacing="0" w:after="0" w:afterAutospacing="0"/>
        <w:ind w:right="1417"/>
        <w:rPr>
          <w:rFonts w:ascii="Arial" w:eastAsiaTheme="minorHAnsi" w:hAnsi="Arial" w:cs="Arial"/>
          <w:sz w:val="20"/>
          <w:szCs w:val="20"/>
          <w:lang w:val="pt-BR" w:eastAsia="en-US"/>
        </w:rPr>
      </w:pPr>
      <w:r w:rsidRPr="00026CA2">
        <w:rPr>
          <w:rFonts w:ascii="Arial" w:eastAsiaTheme="minorHAnsi" w:hAnsi="Arial" w:cs="Arial"/>
          <w:sz w:val="20"/>
          <w:szCs w:val="20"/>
          <w:lang w:val="pt-BR" w:eastAsia="en-US"/>
        </w:rPr>
        <w:t>Head of Corporate Public Relations</w:t>
      </w:r>
    </w:p>
    <w:p w14:paraId="26BCE5C4" w14:textId="77777777" w:rsidR="00026CA2" w:rsidRPr="00026CA2" w:rsidRDefault="00026CA2" w:rsidP="00026CA2">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 xml:space="preserve">Silvia Dicke </w:t>
      </w:r>
    </w:p>
    <w:p w14:paraId="37C749E6" w14:textId="77777777" w:rsidR="00026CA2" w:rsidRPr="00026CA2" w:rsidRDefault="00026CA2" w:rsidP="00026CA2">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NTT DATA Business Solutions</w:t>
      </w:r>
    </w:p>
    <w:p w14:paraId="736AD125" w14:textId="77777777" w:rsidR="00026CA2" w:rsidRPr="00026CA2" w:rsidRDefault="00026CA2" w:rsidP="00026CA2">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Königsbreede 1</w:t>
      </w:r>
    </w:p>
    <w:p w14:paraId="63E67B6A" w14:textId="77777777" w:rsidR="00026CA2" w:rsidRPr="00026CA2" w:rsidRDefault="00026CA2" w:rsidP="00026CA2">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D-33605 Bielefeld</w:t>
      </w:r>
    </w:p>
    <w:p w14:paraId="1C197ED5" w14:textId="77777777" w:rsidR="00026CA2" w:rsidRPr="00026CA2" w:rsidRDefault="00026CA2" w:rsidP="00026CA2">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Tel.: +49 (0) 521 / 9 14 48 – 107</w:t>
      </w:r>
    </w:p>
    <w:p w14:paraId="5F168B4A" w14:textId="7FB2D079" w:rsidR="00026CA2" w:rsidRPr="00776ABD" w:rsidRDefault="00026CA2" w:rsidP="005E3785">
      <w:pPr>
        <w:pStyle w:val="StandardWeb"/>
        <w:spacing w:before="0" w:beforeAutospacing="0" w:after="0" w:afterAutospacing="0"/>
        <w:ind w:right="1417"/>
        <w:rPr>
          <w:rFonts w:ascii="Arial" w:eastAsiaTheme="minorHAnsi" w:hAnsi="Arial" w:cs="Arial"/>
          <w:color w:val="000000" w:themeColor="text1"/>
          <w:sz w:val="20"/>
          <w:szCs w:val="20"/>
          <w:lang w:val="pt-BR" w:eastAsia="en-US"/>
        </w:rPr>
      </w:pPr>
      <w:r w:rsidRPr="00026CA2">
        <w:rPr>
          <w:rFonts w:ascii="Arial" w:eastAsiaTheme="minorHAnsi" w:hAnsi="Arial" w:cs="Arial"/>
          <w:color w:val="000000" w:themeColor="text1"/>
          <w:sz w:val="20"/>
          <w:szCs w:val="20"/>
          <w:lang w:val="pt-BR" w:eastAsia="en-US"/>
        </w:rPr>
        <w:t>E-Mail: Silvia.Dicke@itelligence.de</w:t>
      </w:r>
    </w:p>
    <w:sectPr w:rsidR="00026CA2" w:rsidRPr="00776ABD" w:rsidSect="005E3785">
      <w:headerReference w:type="default" r:id="rId14"/>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8EB1" w14:textId="77777777" w:rsidR="00342F9B" w:rsidRDefault="00342F9B" w:rsidP="00845677">
      <w:r>
        <w:separator/>
      </w:r>
    </w:p>
  </w:endnote>
  <w:endnote w:type="continuationSeparator" w:id="0">
    <w:p w14:paraId="78A0C560" w14:textId="77777777" w:rsidR="00342F9B" w:rsidRDefault="00342F9B"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1D67" w14:textId="77777777" w:rsidR="00342F9B" w:rsidRDefault="00342F9B" w:rsidP="00845677">
      <w:r>
        <w:separator/>
      </w:r>
    </w:p>
  </w:footnote>
  <w:footnote w:type="continuationSeparator" w:id="0">
    <w:p w14:paraId="6CBEF962" w14:textId="77777777" w:rsidR="00342F9B" w:rsidRDefault="00342F9B"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342F9B"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1567579" w:rsidR="00E33A80" w:rsidRPr="00E33A80" w:rsidRDefault="007D292F">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1567579" w:rsidR="00E33A80" w:rsidRPr="00E33A80" w:rsidRDefault="007D292F">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26CA2"/>
    <w:rsid w:val="00045132"/>
    <w:rsid w:val="00083D1D"/>
    <w:rsid w:val="000B6171"/>
    <w:rsid w:val="000F2843"/>
    <w:rsid w:val="0013391B"/>
    <w:rsid w:val="001649A5"/>
    <w:rsid w:val="00170CFE"/>
    <w:rsid w:val="00195F33"/>
    <w:rsid w:val="001B6BCC"/>
    <w:rsid w:val="001F58CB"/>
    <w:rsid w:val="001F7DD6"/>
    <w:rsid w:val="002056C9"/>
    <w:rsid w:val="00210FFD"/>
    <w:rsid w:val="00222328"/>
    <w:rsid w:val="00263A49"/>
    <w:rsid w:val="0026780F"/>
    <w:rsid w:val="00275ED7"/>
    <w:rsid w:val="002C5A8D"/>
    <w:rsid w:val="002F3657"/>
    <w:rsid w:val="00304F73"/>
    <w:rsid w:val="00342F9B"/>
    <w:rsid w:val="00346FF1"/>
    <w:rsid w:val="00365A0E"/>
    <w:rsid w:val="00367B23"/>
    <w:rsid w:val="00384A08"/>
    <w:rsid w:val="00385F71"/>
    <w:rsid w:val="00392AD5"/>
    <w:rsid w:val="00392DEB"/>
    <w:rsid w:val="003D1278"/>
    <w:rsid w:val="003E0D86"/>
    <w:rsid w:val="003E18F3"/>
    <w:rsid w:val="003E29BB"/>
    <w:rsid w:val="003F0E8F"/>
    <w:rsid w:val="00410B2F"/>
    <w:rsid w:val="0044311E"/>
    <w:rsid w:val="00491448"/>
    <w:rsid w:val="004A1C37"/>
    <w:rsid w:val="0050729E"/>
    <w:rsid w:val="005115C7"/>
    <w:rsid w:val="00523458"/>
    <w:rsid w:val="0055763B"/>
    <w:rsid w:val="00594539"/>
    <w:rsid w:val="0059583D"/>
    <w:rsid w:val="005D7B5C"/>
    <w:rsid w:val="005E1394"/>
    <w:rsid w:val="005E1D39"/>
    <w:rsid w:val="005E3652"/>
    <w:rsid w:val="005E3785"/>
    <w:rsid w:val="005E6BFE"/>
    <w:rsid w:val="00600316"/>
    <w:rsid w:val="00621FA1"/>
    <w:rsid w:val="00624116"/>
    <w:rsid w:val="006335AF"/>
    <w:rsid w:val="00633AA7"/>
    <w:rsid w:val="00634EE4"/>
    <w:rsid w:val="00641089"/>
    <w:rsid w:val="00645BD9"/>
    <w:rsid w:val="00687B19"/>
    <w:rsid w:val="006A1735"/>
    <w:rsid w:val="006C3EE7"/>
    <w:rsid w:val="006D6EDF"/>
    <w:rsid w:val="00707AD2"/>
    <w:rsid w:val="00711507"/>
    <w:rsid w:val="00723228"/>
    <w:rsid w:val="00724DB3"/>
    <w:rsid w:val="007304B4"/>
    <w:rsid w:val="00752923"/>
    <w:rsid w:val="00776ABD"/>
    <w:rsid w:val="00781762"/>
    <w:rsid w:val="00793D20"/>
    <w:rsid w:val="007D292F"/>
    <w:rsid w:val="00820376"/>
    <w:rsid w:val="008238E6"/>
    <w:rsid w:val="00824297"/>
    <w:rsid w:val="00841700"/>
    <w:rsid w:val="00845677"/>
    <w:rsid w:val="0089392A"/>
    <w:rsid w:val="008B6D74"/>
    <w:rsid w:val="00913100"/>
    <w:rsid w:val="00955976"/>
    <w:rsid w:val="00974176"/>
    <w:rsid w:val="009876A3"/>
    <w:rsid w:val="0099190B"/>
    <w:rsid w:val="009E383D"/>
    <w:rsid w:val="009E3C0C"/>
    <w:rsid w:val="009F23FD"/>
    <w:rsid w:val="00A066D4"/>
    <w:rsid w:val="00A23A7B"/>
    <w:rsid w:val="00A34ECB"/>
    <w:rsid w:val="00A36474"/>
    <w:rsid w:val="00A42A24"/>
    <w:rsid w:val="00A53487"/>
    <w:rsid w:val="00AA4E93"/>
    <w:rsid w:val="00AC25F6"/>
    <w:rsid w:val="00AF4863"/>
    <w:rsid w:val="00B02824"/>
    <w:rsid w:val="00B32A38"/>
    <w:rsid w:val="00B5236F"/>
    <w:rsid w:val="00B538CC"/>
    <w:rsid w:val="00B60BDD"/>
    <w:rsid w:val="00B63711"/>
    <w:rsid w:val="00B63F9C"/>
    <w:rsid w:val="00B82C1A"/>
    <w:rsid w:val="00B8672F"/>
    <w:rsid w:val="00BB374D"/>
    <w:rsid w:val="00BF029A"/>
    <w:rsid w:val="00BF6D6B"/>
    <w:rsid w:val="00C12E46"/>
    <w:rsid w:val="00C20B82"/>
    <w:rsid w:val="00C25E1B"/>
    <w:rsid w:val="00C4035E"/>
    <w:rsid w:val="00C871EE"/>
    <w:rsid w:val="00CD5A3E"/>
    <w:rsid w:val="00CE5654"/>
    <w:rsid w:val="00D35710"/>
    <w:rsid w:val="00D36E9F"/>
    <w:rsid w:val="00D606D3"/>
    <w:rsid w:val="00D65C5B"/>
    <w:rsid w:val="00D925F8"/>
    <w:rsid w:val="00DB54F5"/>
    <w:rsid w:val="00DD0DAB"/>
    <w:rsid w:val="00DD4BC2"/>
    <w:rsid w:val="00DD7EE6"/>
    <w:rsid w:val="00E02B25"/>
    <w:rsid w:val="00E15BD0"/>
    <w:rsid w:val="00E17153"/>
    <w:rsid w:val="00E2177B"/>
    <w:rsid w:val="00E33A80"/>
    <w:rsid w:val="00E92806"/>
    <w:rsid w:val="00E95598"/>
    <w:rsid w:val="00E974B8"/>
    <w:rsid w:val="00ED0FF0"/>
    <w:rsid w:val="00EF60B1"/>
    <w:rsid w:val="00F21AD3"/>
    <w:rsid w:val="00F36854"/>
    <w:rsid w:val="00F63E67"/>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26CA2"/>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customStyle="1" w:styleId="viiyi">
    <w:name w:val="viiyi"/>
    <w:basedOn w:val="Absatz-Standardschriftart"/>
    <w:rsid w:val="002F3657"/>
  </w:style>
  <w:style w:type="character" w:customStyle="1" w:styleId="jlqj4b">
    <w:name w:val="jlqj4b"/>
    <w:basedOn w:val="Absatz-Standardschriftart"/>
    <w:rsid w:val="002F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9899">
      <w:bodyDiv w:val="1"/>
      <w:marLeft w:val="0"/>
      <w:marRight w:val="0"/>
      <w:marTop w:val="0"/>
      <w:marBottom w:val="0"/>
      <w:divBdr>
        <w:top w:val="none" w:sz="0" w:space="0" w:color="auto"/>
        <w:left w:val="none" w:sz="0" w:space="0" w:color="auto"/>
        <w:bottom w:val="none" w:sz="0" w:space="0" w:color="auto"/>
        <w:right w:val="none" w:sz="0" w:space="0" w:color="auto"/>
      </w:divBdr>
    </w:div>
    <w:div w:id="89628562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95907">
      <w:bodyDiv w:val="1"/>
      <w:marLeft w:val="0"/>
      <w:marRight w:val="0"/>
      <w:marTop w:val="0"/>
      <w:marBottom w:val="0"/>
      <w:divBdr>
        <w:top w:val="none" w:sz="0" w:space="0" w:color="auto"/>
        <w:left w:val="none" w:sz="0" w:space="0" w:color="auto"/>
        <w:bottom w:val="none" w:sz="0" w:space="0" w:color="auto"/>
        <w:right w:val="none" w:sz="0" w:space="0" w:color="auto"/>
      </w:divBdr>
    </w:div>
    <w:div w:id="1261060656">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tdata-solutions.com/de/" TargetMode="External"/><Relationship Id="rId13" Type="http://schemas.openxmlformats.org/officeDocument/2006/relationships/hyperlink" Target="file:///C:\Users\SPITZC\AppData\Local\Microsoft\Windows\INetCache\Content.Outlook\XU0Y9KIQ\ch.nttdata.com"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file:///C:\Users\SPITZC\AppData\Local\Microsoft\Windows\INetCache\Content.Outlook\XU0Y9KIQ\at.nttda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de.nttda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ttdata.com/global/en/" TargetMode="External"/><Relationship Id="rId4" Type="http://schemas.openxmlformats.org/officeDocument/2006/relationships/webSettings" Target="webSettings.xml"/><Relationship Id="rId9" Type="http://schemas.openxmlformats.org/officeDocument/2006/relationships/hyperlink" Target="https://www.luenendonk.de/aktuelles/presseinformationen/luenendonk-listen-2021-fuehrende-it-dienstleister-in-deutschl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4951</Characters>
  <Application>Microsoft Office Word</Application>
  <DocSecurity>0</DocSecurity>
  <Lines>41</Lines>
  <Paragraphs>11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2021-06-23T08:02:00Z</dcterms:created>
  <dcterms:modified xsi:type="dcterms:W3CDTF">2021-06-23T08:02:00Z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