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634EE4" w:rsidRDefault="00845677" w:rsidP="0060077D">
      <w:pPr>
        <w:spacing w:line="360" w:lineRule="auto"/>
        <w:ind w:right="1008"/>
        <w:rPr>
          <w:rFonts w:ascii="Arial" w:hAnsi="Arial" w:cs="Arial"/>
          <w:sz w:val="28"/>
          <w:szCs w:val="28"/>
          <w:lang w:val="en-US"/>
        </w:rPr>
      </w:pPr>
    </w:p>
    <w:p w14:paraId="5FEF9812" w14:textId="1954C39A" w:rsidR="007C6BC5" w:rsidRPr="00786E8C" w:rsidRDefault="007C6BC5" w:rsidP="007C6BC5">
      <w:pPr>
        <w:pStyle w:val="StandardWeb"/>
        <w:spacing w:before="0" w:beforeAutospacing="0" w:after="0" w:afterAutospacing="0"/>
        <w:jc w:val="center"/>
        <w:rPr>
          <w:rFonts w:ascii="Arial" w:hAnsi="Arial" w:cs="Arial"/>
          <w:b/>
          <w:sz w:val="20"/>
          <w:szCs w:val="20"/>
          <w:lang w:val="de-DE"/>
        </w:rPr>
      </w:pPr>
      <w:bookmarkStart w:id="0" w:name="_Hlk518036377"/>
      <w:r w:rsidRPr="007C6BC5">
        <w:rPr>
          <w:rFonts w:ascii="Arial" w:hAnsi="Arial" w:cs="Arial"/>
          <w:b/>
          <w:bCs/>
          <w:noProof/>
          <w:color w:val="222222"/>
          <w:sz w:val="28"/>
          <w:szCs w:val="28"/>
          <w:lang w:val="de-AT" w:eastAsia="de-DE"/>
        </w:rPr>
        <w:t>Erweiterte NTT DATA Digital-Customer-Twin-Lösung geht live</w:t>
      </w:r>
    </w:p>
    <w:bookmarkEnd w:id="0"/>
    <w:p w14:paraId="5AC629E1" w14:textId="62117D4B" w:rsidR="005F410F" w:rsidRPr="008D2F9A" w:rsidRDefault="005F410F" w:rsidP="005F410F">
      <w:pPr>
        <w:pStyle w:val="Default"/>
        <w:jc w:val="both"/>
        <w:rPr>
          <w:rFonts w:ascii="Arial" w:hAnsi="Arial" w:cs="Arial"/>
          <w:b/>
          <w:sz w:val="20"/>
          <w:lang w:val="de-DE"/>
        </w:rPr>
      </w:pPr>
    </w:p>
    <w:p w14:paraId="0CE10300" w14:textId="77777777" w:rsidR="007C6BC5" w:rsidRPr="00786E8C" w:rsidRDefault="007C6BC5" w:rsidP="007C6BC5">
      <w:pPr>
        <w:pStyle w:val="StandardWeb"/>
        <w:spacing w:before="0" w:beforeAutospacing="0" w:after="0" w:afterAutospacing="0"/>
        <w:jc w:val="both"/>
        <w:rPr>
          <w:rFonts w:ascii="Arial" w:hAnsi="Arial" w:cs="Arial"/>
          <w:b/>
          <w:sz w:val="20"/>
          <w:szCs w:val="20"/>
          <w:lang w:val="de-DE"/>
        </w:rPr>
      </w:pPr>
    </w:p>
    <w:p w14:paraId="2F3CD365" w14:textId="2011E4C6" w:rsidR="007C6BC5" w:rsidRDefault="00A22CBC" w:rsidP="00924425">
      <w:pPr>
        <w:pStyle w:val="StandardWeb"/>
        <w:spacing w:before="0" w:beforeAutospacing="0" w:after="0" w:afterAutospacing="0"/>
        <w:rPr>
          <w:rFonts w:ascii="Arial" w:hAnsi="Arial" w:cs="Arial"/>
          <w:sz w:val="20"/>
          <w:szCs w:val="20"/>
          <w:lang w:val="de-DE"/>
        </w:rPr>
      </w:pPr>
      <w:r>
        <w:rPr>
          <w:rFonts w:ascii="Arial" w:hAnsi="Arial" w:cs="Arial"/>
          <w:b/>
          <w:sz w:val="20"/>
          <w:szCs w:val="20"/>
          <w:lang w:val="de-DE"/>
        </w:rPr>
        <w:t>München, 20</w:t>
      </w:r>
      <w:r w:rsidR="007C6BC5" w:rsidRPr="00786E8C">
        <w:rPr>
          <w:rFonts w:ascii="Arial" w:hAnsi="Arial" w:cs="Arial"/>
          <w:b/>
          <w:sz w:val="20"/>
          <w:szCs w:val="20"/>
          <w:lang w:val="de-DE"/>
        </w:rPr>
        <w:t>.</w:t>
      </w:r>
      <w:r>
        <w:rPr>
          <w:rFonts w:ascii="Arial" w:hAnsi="Arial" w:cs="Arial"/>
          <w:b/>
          <w:sz w:val="20"/>
          <w:szCs w:val="20"/>
          <w:lang w:val="de-DE"/>
        </w:rPr>
        <w:t xml:space="preserve"> Juli</w:t>
      </w:r>
      <w:r w:rsidR="007C6BC5" w:rsidRPr="00786E8C">
        <w:rPr>
          <w:rFonts w:ascii="Arial" w:hAnsi="Arial" w:cs="Arial"/>
          <w:b/>
          <w:sz w:val="20"/>
          <w:szCs w:val="20"/>
          <w:lang w:val="de-DE"/>
        </w:rPr>
        <w:t xml:space="preserve"> 2021</w:t>
      </w:r>
      <w:r w:rsidR="007C6BC5" w:rsidRPr="00786E8C">
        <w:rPr>
          <w:rFonts w:ascii="Arial" w:hAnsi="Arial" w:cs="Arial"/>
          <w:sz w:val="20"/>
          <w:szCs w:val="20"/>
          <w:lang w:val="de-DE"/>
        </w:rPr>
        <w:t xml:space="preserve"> – </w:t>
      </w:r>
      <w:hyperlink r:id="rId7" w:history="1">
        <w:r w:rsidR="007C6BC5" w:rsidRPr="005F410F">
          <w:rPr>
            <w:rStyle w:val="Hyperlink"/>
            <w:rFonts w:ascii="Arial" w:hAnsi="Arial" w:cs="Arial"/>
            <w:sz w:val="20"/>
            <w:szCs w:val="20"/>
            <w:lang w:val="de-DE"/>
          </w:rPr>
          <w:t>NTT DATA</w:t>
        </w:r>
      </w:hyperlink>
      <w:r w:rsidR="004E0B83">
        <w:rPr>
          <w:rFonts w:ascii="Arial" w:hAnsi="Arial" w:cs="Arial"/>
          <w:sz w:val="20"/>
          <w:szCs w:val="20"/>
          <w:lang w:val="de-DE"/>
        </w:rPr>
        <w:t xml:space="preserve">, </w:t>
      </w:r>
      <w:r w:rsidR="004E0B83" w:rsidRPr="00634EE4">
        <w:rPr>
          <w:rFonts w:ascii="Arial" w:hAnsi="Arial" w:cs="Arial"/>
          <w:sz w:val="20"/>
          <w:szCs w:val="20"/>
          <w:lang w:val="de-AT"/>
        </w:rPr>
        <w:t>ein globaler Marktführer für digitale Geschäfts- und IT-Dienstleistungen</w:t>
      </w:r>
      <w:r w:rsidR="004E0B83">
        <w:rPr>
          <w:rFonts w:ascii="Arial" w:hAnsi="Arial" w:cs="Arial"/>
          <w:sz w:val="20"/>
          <w:szCs w:val="20"/>
          <w:lang w:val="de-AT"/>
        </w:rPr>
        <w:t>,</w:t>
      </w:r>
      <w:r w:rsidR="004E0B83">
        <w:rPr>
          <w:rFonts w:ascii="Arial" w:hAnsi="Arial" w:cs="Arial"/>
          <w:color w:val="000000" w:themeColor="text1"/>
          <w:sz w:val="20"/>
          <w:szCs w:val="22"/>
          <w:lang w:val="de-DE"/>
        </w:rPr>
        <w:t xml:space="preserve"> </w:t>
      </w:r>
      <w:r w:rsidR="00425C0E">
        <w:rPr>
          <w:rFonts w:ascii="Arial" w:hAnsi="Arial" w:cs="Arial"/>
          <w:sz w:val="20"/>
          <w:szCs w:val="20"/>
          <w:lang w:val="de-DE"/>
        </w:rPr>
        <w:t>hat im Auftrag von</w:t>
      </w:r>
      <w:r w:rsidR="007C6BC5" w:rsidRPr="00786E8C">
        <w:rPr>
          <w:rFonts w:ascii="Arial" w:hAnsi="Arial" w:cs="Arial"/>
          <w:sz w:val="20"/>
          <w:szCs w:val="20"/>
          <w:lang w:val="de-DE"/>
        </w:rPr>
        <w:t xml:space="preserve"> Daimler Trucks </w:t>
      </w:r>
      <w:r w:rsidR="007C6BC5">
        <w:rPr>
          <w:rFonts w:ascii="Arial" w:hAnsi="Arial" w:cs="Arial"/>
          <w:sz w:val="20"/>
          <w:szCs w:val="20"/>
          <w:lang w:val="de-DE"/>
        </w:rPr>
        <w:t xml:space="preserve">eine neue Lösung für das zentrale Kundendaten-Management des Nutzfahrzeugherstellers realisiert. In zwei Schritten wurden dabei, basierend auf dem Prinzip des „Digital Customer Twin“, Systeme für die Anlage und Pflege </w:t>
      </w:r>
      <w:r w:rsidR="00425C0E">
        <w:rPr>
          <w:rFonts w:ascii="Arial" w:hAnsi="Arial" w:cs="Arial"/>
          <w:sz w:val="20"/>
          <w:szCs w:val="20"/>
          <w:lang w:val="de-DE"/>
        </w:rPr>
        <w:t>von</w:t>
      </w:r>
      <w:r w:rsidR="007C6BC5">
        <w:rPr>
          <w:rFonts w:ascii="Arial" w:hAnsi="Arial" w:cs="Arial"/>
          <w:sz w:val="20"/>
          <w:szCs w:val="20"/>
          <w:lang w:val="de-DE"/>
        </w:rPr>
        <w:t xml:space="preserve"> Kundendaten implementiert.</w:t>
      </w:r>
    </w:p>
    <w:p w14:paraId="4B868C9A" w14:textId="77777777" w:rsidR="007C6BC5" w:rsidRPr="00786E8C" w:rsidRDefault="007C6BC5" w:rsidP="00924425">
      <w:pPr>
        <w:pStyle w:val="StandardWeb"/>
        <w:spacing w:before="0" w:beforeAutospacing="0" w:after="0" w:afterAutospacing="0"/>
        <w:rPr>
          <w:rFonts w:ascii="Arial" w:hAnsi="Arial" w:cs="Arial"/>
          <w:sz w:val="20"/>
          <w:szCs w:val="20"/>
          <w:lang w:val="de-DE"/>
        </w:rPr>
      </w:pPr>
    </w:p>
    <w:p w14:paraId="1C5372DB" w14:textId="19966BFE" w:rsidR="00DB1670" w:rsidRDefault="007C6BC5" w:rsidP="00924425">
      <w:pPr>
        <w:rPr>
          <w:rFonts w:ascii="Arial" w:hAnsi="Arial" w:cs="Arial"/>
          <w:color w:val="000000" w:themeColor="text1"/>
          <w:sz w:val="20"/>
          <w:szCs w:val="22"/>
          <w:lang w:val="de-DE"/>
        </w:rPr>
      </w:pPr>
      <w:r>
        <w:rPr>
          <w:rFonts w:ascii="Arial" w:hAnsi="Arial" w:cs="Arial"/>
          <w:sz w:val="20"/>
          <w:szCs w:val="20"/>
          <w:lang w:val="de-DE"/>
        </w:rPr>
        <w:t>Korrekte Kundendaten sind für das Geschäft von Unternehmen entscheidend, zugleich ist ihre Qualität immer abhängig von den Systemen, in denen sie vorgehalten sind, und den Menschen, die sie einpflegen. Im geschäftigen Alltag schleichen sich schnell Dubletten oder Vertipper ein, nötige Aktualisierungen werden vergessen. Die entstehenden Mängel der Datenqualität können fatale Konsequenzen haben, bis hin zur falschen Bezahlung von Provisionen für Kunden, die doppelt angelegt sind. NTT DATA</w:t>
      </w:r>
      <w:r w:rsidR="004E0B83">
        <w:rPr>
          <w:rFonts w:ascii="Arial" w:hAnsi="Arial" w:cs="Arial"/>
          <w:sz w:val="20"/>
          <w:szCs w:val="20"/>
          <w:lang w:val="de-DE"/>
        </w:rPr>
        <w:t xml:space="preserve"> </w:t>
      </w:r>
      <w:r>
        <w:rPr>
          <w:rFonts w:ascii="Arial" w:hAnsi="Arial" w:cs="Arial"/>
          <w:color w:val="000000" w:themeColor="text1"/>
          <w:sz w:val="20"/>
          <w:szCs w:val="22"/>
          <w:lang w:val="de-DE"/>
        </w:rPr>
        <w:t xml:space="preserve">hat dafür ein System entwickelt, das wirksam Abhilfe schafft. </w:t>
      </w:r>
    </w:p>
    <w:p w14:paraId="2559E30B" w14:textId="0208029B" w:rsidR="00DB1670" w:rsidRDefault="00DB1670" w:rsidP="00924425">
      <w:pPr>
        <w:rPr>
          <w:rFonts w:ascii="Arial" w:hAnsi="Arial" w:cs="Arial"/>
          <w:color w:val="000000" w:themeColor="text1"/>
          <w:sz w:val="20"/>
          <w:szCs w:val="22"/>
          <w:lang w:val="de-DE"/>
        </w:rPr>
      </w:pPr>
    </w:p>
    <w:p w14:paraId="0858B13B" w14:textId="45A84489" w:rsidR="00231BA1" w:rsidRDefault="00231BA1" w:rsidP="00924425">
      <w:pPr>
        <w:rPr>
          <w:rFonts w:ascii="Arial" w:hAnsi="Arial" w:cs="Arial"/>
          <w:color w:val="000000" w:themeColor="text1"/>
          <w:sz w:val="20"/>
          <w:szCs w:val="22"/>
          <w:lang w:val="de-DE"/>
        </w:rPr>
      </w:pPr>
      <w:r>
        <w:rPr>
          <w:rFonts w:ascii="Arial" w:hAnsi="Arial" w:cs="Arial"/>
          <w:noProof/>
          <w:color w:val="000000" w:themeColor="text1"/>
          <w:sz w:val="20"/>
          <w:szCs w:val="22"/>
          <w:lang w:val="de-DE" w:eastAsia="de-DE"/>
        </w:rPr>
        <w:drawing>
          <wp:inline distT="0" distB="0" distL="0" distR="0" wp14:anchorId="635A10D0" wp14:editId="2EEDE414">
            <wp:extent cx="5400000" cy="304597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T DATA-Grafik-Digital Customer Twin_RGB_web.jpg"/>
                    <pic:cNvPicPr/>
                  </pic:nvPicPr>
                  <pic:blipFill rotWithShape="1">
                    <a:blip r:embed="rId8" cstate="print">
                      <a:extLst>
                        <a:ext uri="{28A0092B-C50C-407E-A947-70E740481C1C}">
                          <a14:useLocalDpi xmlns:a14="http://schemas.microsoft.com/office/drawing/2010/main" val="0"/>
                        </a:ext>
                      </a:extLst>
                    </a:blip>
                    <a:srcRect b="10410"/>
                    <a:stretch/>
                  </pic:blipFill>
                  <pic:spPr bwMode="auto">
                    <a:xfrm>
                      <a:off x="0" y="0"/>
                      <a:ext cx="5400000" cy="3045974"/>
                    </a:xfrm>
                    <a:prstGeom prst="rect">
                      <a:avLst/>
                    </a:prstGeom>
                    <a:ln>
                      <a:noFill/>
                    </a:ln>
                    <a:extLst>
                      <a:ext uri="{53640926-AAD7-44D8-BBD7-CCE9431645EC}">
                        <a14:shadowObscured xmlns:a14="http://schemas.microsoft.com/office/drawing/2010/main"/>
                      </a:ext>
                    </a:extLst>
                  </pic:spPr>
                </pic:pic>
              </a:graphicData>
            </a:graphic>
          </wp:inline>
        </w:drawing>
      </w:r>
    </w:p>
    <w:p w14:paraId="43E07FF8" w14:textId="77777777" w:rsidR="00231BA1" w:rsidRDefault="00231BA1" w:rsidP="00231BA1">
      <w:pPr>
        <w:rPr>
          <w:rFonts w:ascii="Arial" w:hAnsi="Arial" w:cs="Arial"/>
          <w:b/>
          <w:color w:val="000000" w:themeColor="text1"/>
          <w:sz w:val="20"/>
          <w:szCs w:val="20"/>
          <w:lang w:val="de-DE"/>
        </w:rPr>
      </w:pPr>
    </w:p>
    <w:p w14:paraId="3C388996" w14:textId="1FB9B0BD" w:rsidR="00231BA1" w:rsidRPr="00231BA1" w:rsidRDefault="00231BA1" w:rsidP="00231BA1">
      <w:pPr>
        <w:rPr>
          <w:rFonts w:ascii="Arial" w:hAnsi="Arial" w:cs="Arial"/>
          <w:color w:val="000000" w:themeColor="text1"/>
          <w:sz w:val="20"/>
          <w:szCs w:val="20"/>
          <w:lang w:val="de-DE"/>
        </w:rPr>
      </w:pPr>
      <w:r>
        <w:rPr>
          <w:rFonts w:ascii="Arial" w:hAnsi="Arial" w:cs="Arial"/>
          <w:b/>
          <w:color w:val="000000" w:themeColor="text1"/>
          <w:sz w:val="20"/>
          <w:szCs w:val="20"/>
          <w:lang w:val="de-DE"/>
        </w:rPr>
        <w:t>Abbildung</w:t>
      </w:r>
      <w:r w:rsidR="00CA4890">
        <w:rPr>
          <w:rFonts w:ascii="Arial" w:hAnsi="Arial" w:cs="Arial"/>
          <w:b/>
          <w:color w:val="000000" w:themeColor="text1"/>
          <w:sz w:val="20"/>
          <w:szCs w:val="20"/>
          <w:lang w:val="de-DE"/>
        </w:rPr>
        <w:t xml:space="preserve"> </w:t>
      </w:r>
      <w:bookmarkStart w:id="1" w:name="_GoBack"/>
      <w:bookmarkEnd w:id="1"/>
      <w:r>
        <w:rPr>
          <w:rFonts w:ascii="Arial" w:hAnsi="Arial" w:cs="Arial"/>
          <w:b/>
          <w:color w:val="000000" w:themeColor="text1"/>
          <w:sz w:val="20"/>
          <w:szCs w:val="20"/>
          <w:lang w:val="de-DE"/>
        </w:rPr>
        <w:t xml:space="preserve">1: </w:t>
      </w:r>
      <w:r w:rsidRPr="00231BA1">
        <w:rPr>
          <w:rFonts w:ascii="Arial" w:hAnsi="Arial" w:cs="Arial"/>
          <w:color w:val="000000" w:themeColor="text1"/>
          <w:sz w:val="20"/>
          <w:szCs w:val="20"/>
          <w:lang w:val="de-DE"/>
        </w:rPr>
        <w:t>Über alle Fachbereiche und beteiligten Systeme hinweg werden mittels intelligenter Algorithmen die vorliegenden Daten bereinig</w:t>
      </w:r>
      <w:r w:rsidR="00E41E67">
        <w:rPr>
          <w:rFonts w:ascii="Arial" w:hAnsi="Arial" w:cs="Arial"/>
          <w:color w:val="000000" w:themeColor="text1"/>
          <w:sz w:val="20"/>
          <w:szCs w:val="20"/>
          <w:lang w:val="de-DE"/>
        </w:rPr>
        <w:t>t</w:t>
      </w:r>
      <w:r w:rsidRPr="00231BA1">
        <w:rPr>
          <w:rFonts w:ascii="Arial" w:hAnsi="Arial" w:cs="Arial"/>
          <w:color w:val="000000" w:themeColor="text1"/>
          <w:sz w:val="20"/>
          <w:szCs w:val="20"/>
          <w:lang w:val="de-DE"/>
        </w:rPr>
        <w:t>, konsolidiert und angereich</w:t>
      </w:r>
      <w:r w:rsidR="00E41E67">
        <w:rPr>
          <w:rFonts w:ascii="Arial" w:hAnsi="Arial" w:cs="Arial"/>
          <w:color w:val="000000" w:themeColor="text1"/>
          <w:sz w:val="20"/>
          <w:szCs w:val="20"/>
          <w:lang w:val="de-DE"/>
        </w:rPr>
        <w:t>er</w:t>
      </w:r>
      <w:r w:rsidRPr="00231BA1">
        <w:rPr>
          <w:rFonts w:ascii="Arial" w:hAnsi="Arial" w:cs="Arial"/>
          <w:color w:val="000000" w:themeColor="text1"/>
          <w:sz w:val="20"/>
          <w:szCs w:val="20"/>
          <w:lang w:val="de-DE"/>
        </w:rPr>
        <w:t>t. So entsteht ein digitaler Zwilling der Endkunden.</w:t>
      </w:r>
    </w:p>
    <w:p w14:paraId="67AB8F5C" w14:textId="77777777" w:rsidR="00231BA1" w:rsidRDefault="00231BA1" w:rsidP="00231BA1">
      <w:pPr>
        <w:pStyle w:val="StandardWeb"/>
        <w:spacing w:before="0" w:beforeAutospacing="0" w:after="0" w:afterAutospacing="0"/>
        <w:rPr>
          <w:rFonts w:ascii="Arial" w:hAnsi="Arial" w:cs="Arial"/>
          <w:color w:val="000000" w:themeColor="text1"/>
          <w:sz w:val="20"/>
          <w:szCs w:val="22"/>
          <w:lang w:val="de-DE"/>
        </w:rPr>
      </w:pPr>
    </w:p>
    <w:p w14:paraId="03CCD1A8" w14:textId="3944C25A" w:rsidR="007C6BC5" w:rsidRDefault="00DB1670" w:rsidP="00924425">
      <w:pPr>
        <w:rPr>
          <w:rFonts w:ascii="Arial" w:hAnsi="Arial" w:cs="Arial"/>
          <w:color w:val="000000" w:themeColor="text1"/>
          <w:sz w:val="20"/>
          <w:szCs w:val="22"/>
          <w:lang w:val="de-DE"/>
        </w:rPr>
      </w:pPr>
      <w:r w:rsidRPr="00051BDD">
        <w:rPr>
          <w:rFonts w:ascii="Arial" w:hAnsi="Arial" w:cs="Arial"/>
          <w:color w:val="000000" w:themeColor="text1"/>
          <w:sz w:val="20"/>
          <w:szCs w:val="22"/>
          <w:lang w:val="de-DE"/>
        </w:rPr>
        <w:t xml:space="preserve">„Unsere </w:t>
      </w:r>
      <w:r w:rsidR="007C6BC5" w:rsidRPr="00051BDD">
        <w:rPr>
          <w:rFonts w:ascii="Arial" w:hAnsi="Arial" w:cs="Arial"/>
          <w:color w:val="000000" w:themeColor="text1"/>
          <w:sz w:val="20"/>
          <w:szCs w:val="22"/>
          <w:lang w:val="de-DE"/>
        </w:rPr>
        <w:t xml:space="preserve">Lösung legt einen „digitalen Zwilling“ eines jeden Kunden an und führt automatisch alle Daten aus verschiedenen Systemen zusammen. Entscheidungsalgorithmen sorgen dabei dafür, dass nur korrekte und aktuelle Daten vorgehalten und </w:t>
      </w:r>
      <w:r w:rsidR="00C13CB3" w:rsidRPr="00051BDD">
        <w:rPr>
          <w:rFonts w:ascii="Arial" w:hAnsi="Arial" w:cs="Arial"/>
          <w:color w:val="000000" w:themeColor="text1"/>
          <w:sz w:val="20"/>
          <w:szCs w:val="22"/>
          <w:lang w:val="de-DE"/>
        </w:rPr>
        <w:t xml:space="preserve">richtig </w:t>
      </w:r>
      <w:r w:rsidRPr="00051BDD">
        <w:rPr>
          <w:rFonts w:ascii="Arial" w:hAnsi="Arial" w:cs="Arial"/>
          <w:color w:val="000000" w:themeColor="text1"/>
          <w:sz w:val="20"/>
          <w:szCs w:val="22"/>
          <w:lang w:val="de-DE"/>
        </w:rPr>
        <w:t>zugeordnet werden“</w:t>
      </w:r>
      <w:r w:rsidR="00E41E67">
        <w:rPr>
          <w:rFonts w:ascii="Arial" w:hAnsi="Arial" w:cs="Arial"/>
          <w:color w:val="000000" w:themeColor="text1"/>
          <w:sz w:val="20"/>
          <w:szCs w:val="22"/>
          <w:lang w:val="de-DE"/>
        </w:rPr>
        <w:t>,</w:t>
      </w:r>
      <w:r w:rsidRPr="00051BDD">
        <w:rPr>
          <w:rFonts w:ascii="Arial" w:hAnsi="Arial" w:cs="Arial"/>
          <w:color w:val="000000" w:themeColor="text1"/>
          <w:sz w:val="20"/>
          <w:szCs w:val="22"/>
          <w:lang w:val="de-DE"/>
        </w:rPr>
        <w:t xml:space="preserve"> so Heinz Baier, </w:t>
      </w:r>
      <w:r w:rsidR="00496034" w:rsidRPr="00051BDD">
        <w:rPr>
          <w:rFonts w:ascii="Arial" w:hAnsi="Arial" w:cs="Arial"/>
          <w:color w:val="000000" w:themeColor="text1"/>
          <w:sz w:val="20"/>
          <w:szCs w:val="22"/>
          <w:lang w:val="de-DE"/>
        </w:rPr>
        <w:t xml:space="preserve">Head of Industry Automotive bei NTT DATA DACH. </w:t>
      </w:r>
      <w:r w:rsidR="007C6BC5" w:rsidRPr="00051BDD">
        <w:rPr>
          <w:rFonts w:ascii="Arial" w:hAnsi="Arial" w:cs="Arial"/>
          <w:color w:val="000000" w:themeColor="text1"/>
          <w:sz w:val="20"/>
          <w:szCs w:val="22"/>
          <w:lang w:val="de-DE"/>
        </w:rPr>
        <w:t>Das Resultat: Hinte</w:t>
      </w:r>
      <w:r w:rsidR="007C6BC5">
        <w:rPr>
          <w:rFonts w:ascii="Arial" w:hAnsi="Arial" w:cs="Arial"/>
          <w:color w:val="000000" w:themeColor="text1"/>
          <w:sz w:val="20"/>
          <w:szCs w:val="22"/>
          <w:lang w:val="de-DE"/>
        </w:rPr>
        <w:t>r jeder ID im System steckt ein eindeutig identifizierbarer und verifizierter Kunde mit vollständigen und stets aktuellen Daten.</w:t>
      </w:r>
      <w:r w:rsidR="00B6722D">
        <w:rPr>
          <w:rFonts w:ascii="Arial" w:hAnsi="Arial" w:cs="Arial"/>
          <w:color w:val="000000" w:themeColor="text1"/>
          <w:sz w:val="20"/>
          <w:szCs w:val="22"/>
          <w:lang w:val="de-DE"/>
        </w:rPr>
        <w:t xml:space="preserve"> Gleichzeitig ist so sichergestellt, dass es jeden Kunden auch nur noch genau einmal im System gibt.</w:t>
      </w:r>
    </w:p>
    <w:p w14:paraId="60C36B5F" w14:textId="43FAF294" w:rsidR="000E39A5" w:rsidRDefault="000E39A5" w:rsidP="00924425">
      <w:pPr>
        <w:rPr>
          <w:rFonts w:ascii="Arial" w:hAnsi="Arial" w:cs="Arial"/>
          <w:color w:val="000000" w:themeColor="text1"/>
          <w:sz w:val="20"/>
          <w:szCs w:val="22"/>
          <w:lang w:val="de-DE"/>
        </w:rPr>
      </w:pPr>
    </w:p>
    <w:p w14:paraId="0D38F428" w14:textId="77777777" w:rsidR="000E39A5" w:rsidRDefault="000E39A5" w:rsidP="00924425">
      <w:pPr>
        <w:rPr>
          <w:rFonts w:ascii="Arial" w:hAnsi="Arial" w:cs="Arial"/>
          <w:color w:val="000000" w:themeColor="text1"/>
          <w:sz w:val="20"/>
          <w:szCs w:val="22"/>
          <w:lang w:val="de-DE"/>
        </w:rPr>
      </w:pPr>
    </w:p>
    <w:p w14:paraId="47B5B1D8" w14:textId="4DF830EF" w:rsidR="00231BA1" w:rsidRPr="00584B7C" w:rsidRDefault="00584B7C" w:rsidP="00231BA1">
      <w:pPr>
        <w:pStyle w:val="StandardWeb"/>
        <w:spacing w:before="0" w:beforeAutospacing="0" w:after="0" w:afterAutospacing="0"/>
        <w:rPr>
          <w:rFonts w:ascii="Arial" w:hAnsi="Arial" w:cs="Arial"/>
          <w:color w:val="000000" w:themeColor="text1"/>
          <w:sz w:val="20"/>
          <w:szCs w:val="22"/>
          <w:lang w:val="de-DE"/>
        </w:rPr>
      </w:pPr>
      <w:r>
        <w:rPr>
          <w:rFonts w:ascii="Arial" w:hAnsi="Arial" w:cs="Arial"/>
          <w:noProof/>
          <w:color w:val="000000" w:themeColor="text1"/>
          <w:sz w:val="20"/>
          <w:szCs w:val="22"/>
          <w:lang w:val="de-DE" w:eastAsia="de-DE"/>
        </w:rPr>
        <w:lastRenderedPageBreak/>
        <w:drawing>
          <wp:inline distT="0" distB="0" distL="0" distR="0" wp14:anchorId="457A102C" wp14:editId="389F0FFA">
            <wp:extent cx="5400000" cy="31701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 DATA-Grafik-Digital Customer Twin_Schichten_RGB_web.jpg"/>
                    <pic:cNvPicPr/>
                  </pic:nvPicPr>
                  <pic:blipFill rotWithShape="1">
                    <a:blip r:embed="rId9" cstate="print">
                      <a:extLst>
                        <a:ext uri="{28A0092B-C50C-407E-A947-70E740481C1C}">
                          <a14:useLocalDpi xmlns:a14="http://schemas.microsoft.com/office/drawing/2010/main" val="0"/>
                        </a:ext>
                      </a:extLst>
                    </a:blip>
                    <a:srcRect b="6759"/>
                    <a:stretch/>
                  </pic:blipFill>
                  <pic:spPr bwMode="auto">
                    <a:xfrm>
                      <a:off x="0" y="0"/>
                      <a:ext cx="5400000" cy="3170105"/>
                    </a:xfrm>
                    <a:prstGeom prst="rect">
                      <a:avLst/>
                    </a:prstGeom>
                    <a:ln>
                      <a:noFill/>
                    </a:ln>
                    <a:extLst>
                      <a:ext uri="{53640926-AAD7-44D8-BBD7-CCE9431645EC}">
                        <a14:shadowObscured xmlns:a14="http://schemas.microsoft.com/office/drawing/2010/main"/>
                      </a:ext>
                    </a:extLst>
                  </pic:spPr>
                </pic:pic>
              </a:graphicData>
            </a:graphic>
          </wp:inline>
        </w:drawing>
      </w:r>
    </w:p>
    <w:p w14:paraId="51DAFDAF" w14:textId="77777777" w:rsidR="0079435A" w:rsidRDefault="0079435A" w:rsidP="00231BA1">
      <w:pPr>
        <w:rPr>
          <w:rFonts w:ascii="Arial" w:hAnsi="Arial" w:cs="Arial"/>
          <w:b/>
          <w:color w:val="000000" w:themeColor="text1"/>
          <w:sz w:val="20"/>
          <w:szCs w:val="20"/>
          <w:lang w:val="de-DE"/>
        </w:rPr>
      </w:pPr>
    </w:p>
    <w:p w14:paraId="2074853C" w14:textId="1AD3FE99" w:rsidR="00231BA1" w:rsidRPr="00231BA1" w:rsidRDefault="00231BA1" w:rsidP="00231BA1">
      <w:pPr>
        <w:rPr>
          <w:rFonts w:ascii="Arial" w:hAnsi="Arial" w:cs="Arial"/>
          <w:sz w:val="20"/>
          <w:szCs w:val="20"/>
          <w:lang w:val="de-DE" w:eastAsia="en-US"/>
        </w:rPr>
      </w:pPr>
      <w:r w:rsidRPr="00231BA1">
        <w:rPr>
          <w:rFonts w:ascii="Arial" w:hAnsi="Arial" w:cs="Arial"/>
          <w:b/>
          <w:color w:val="000000" w:themeColor="text1"/>
          <w:sz w:val="20"/>
          <w:szCs w:val="20"/>
          <w:lang w:val="de-DE"/>
        </w:rPr>
        <w:t>Abbildung 2:</w:t>
      </w:r>
      <w:r w:rsidRPr="00231BA1">
        <w:rPr>
          <w:rFonts w:ascii="Arial" w:hAnsi="Arial" w:cs="Arial"/>
          <w:color w:val="000000" w:themeColor="text1"/>
          <w:sz w:val="20"/>
          <w:szCs w:val="20"/>
          <w:lang w:val="de-DE"/>
        </w:rPr>
        <w:t xml:space="preserve"> </w:t>
      </w:r>
      <w:r w:rsidRPr="00231BA1">
        <w:rPr>
          <w:rFonts w:ascii="Arial" w:hAnsi="Arial" w:cs="Arial"/>
          <w:sz w:val="20"/>
          <w:szCs w:val="20"/>
          <w:lang w:val="de-DE" w:eastAsia="en-US"/>
        </w:rPr>
        <w:t>Der Digital Customer Twin als Abbild eines echten Kunden, mit den verschiedenen Schichten seiner ‚Sichtbarkeit‘. Jedes Umsystem bekommt dabei nur den Ausschnitt aktueller Daten</w:t>
      </w:r>
      <w:r w:rsidR="00E41E67">
        <w:rPr>
          <w:rFonts w:ascii="Arial" w:hAnsi="Arial" w:cs="Arial"/>
          <w:sz w:val="20"/>
          <w:szCs w:val="20"/>
          <w:lang w:val="de-DE" w:eastAsia="en-US"/>
        </w:rPr>
        <w:t>,</w:t>
      </w:r>
      <w:r w:rsidRPr="00231BA1">
        <w:rPr>
          <w:rFonts w:ascii="Arial" w:hAnsi="Arial" w:cs="Arial"/>
          <w:sz w:val="20"/>
          <w:szCs w:val="20"/>
          <w:lang w:val="de-DE" w:eastAsia="en-US"/>
        </w:rPr>
        <w:t xml:space="preserve"> für den es berechtigt ist und eine Einwilligung vorliegt.</w:t>
      </w:r>
    </w:p>
    <w:p w14:paraId="60E16029" w14:textId="4132F36A" w:rsidR="008D6C37" w:rsidRDefault="008D6C37" w:rsidP="00924425">
      <w:pPr>
        <w:rPr>
          <w:rFonts w:ascii="Arial" w:hAnsi="Arial" w:cs="Arial"/>
          <w:color w:val="000000" w:themeColor="text1"/>
          <w:sz w:val="20"/>
          <w:szCs w:val="22"/>
          <w:lang w:val="de-DE"/>
        </w:rPr>
      </w:pPr>
    </w:p>
    <w:p w14:paraId="3770CF36" w14:textId="6982544C" w:rsidR="007C6BC5" w:rsidRDefault="007C6BC5" w:rsidP="00924425">
      <w:pPr>
        <w:pStyle w:val="StandardWeb"/>
        <w:spacing w:before="0" w:beforeAutospacing="0" w:after="0" w:afterAutospacing="0"/>
        <w:rPr>
          <w:rFonts w:ascii="Arial" w:hAnsi="Arial" w:cs="Arial"/>
          <w:color w:val="000000" w:themeColor="text1"/>
          <w:sz w:val="20"/>
          <w:szCs w:val="22"/>
          <w:lang w:val="de-DE"/>
        </w:rPr>
      </w:pPr>
      <w:r>
        <w:rPr>
          <w:rFonts w:ascii="Arial" w:hAnsi="Arial" w:cs="Arial"/>
          <w:color w:val="000000" w:themeColor="text1"/>
          <w:sz w:val="20"/>
          <w:szCs w:val="22"/>
          <w:lang w:val="de-DE"/>
        </w:rPr>
        <w:t xml:space="preserve">Die Basis-Kundendaten können in Echtzeit durch weitere Daten angereichert werden, wodurch sich ein 360-Grad-Überblick über jeden Kunden </w:t>
      </w:r>
      <w:r w:rsidR="00E41E67">
        <w:rPr>
          <w:rFonts w:ascii="Arial" w:hAnsi="Arial" w:cs="Arial"/>
          <w:color w:val="000000" w:themeColor="text1"/>
          <w:sz w:val="20"/>
          <w:szCs w:val="22"/>
          <w:lang w:val="de-DE"/>
        </w:rPr>
        <w:t xml:space="preserve">ergibt </w:t>
      </w:r>
      <w:r>
        <w:rPr>
          <w:rFonts w:ascii="Arial" w:hAnsi="Arial" w:cs="Arial"/>
          <w:color w:val="000000" w:themeColor="text1"/>
          <w:sz w:val="20"/>
          <w:szCs w:val="22"/>
          <w:lang w:val="de-DE"/>
        </w:rPr>
        <w:t>– eine ideale Voraussetzung für die Arbeit von Service, Vertrieb und allen weiteren Kundenschnittstellen. Zusätzlich verringern sich durch die leistungsstarken Automatisierungsfunktionen Kosten und Aufwand für das Datenhandling.</w:t>
      </w:r>
    </w:p>
    <w:p w14:paraId="06A6B6EC" w14:textId="77777777" w:rsidR="00231BA1" w:rsidRDefault="00231BA1" w:rsidP="00924425">
      <w:pPr>
        <w:pStyle w:val="StandardWeb"/>
        <w:spacing w:before="0" w:beforeAutospacing="0" w:after="0" w:afterAutospacing="0"/>
        <w:rPr>
          <w:rFonts w:ascii="Arial" w:hAnsi="Arial" w:cs="Arial"/>
          <w:color w:val="000000" w:themeColor="text1"/>
          <w:sz w:val="20"/>
          <w:szCs w:val="22"/>
          <w:lang w:val="de-DE"/>
        </w:rPr>
      </w:pPr>
    </w:p>
    <w:p w14:paraId="665270A8" w14:textId="1F5C6C81" w:rsidR="00CC4A26" w:rsidRPr="00786E8C" w:rsidRDefault="007C6BC5" w:rsidP="00CC4A26">
      <w:pPr>
        <w:pStyle w:val="StandardWeb"/>
        <w:spacing w:before="0" w:beforeAutospacing="0" w:after="0" w:afterAutospacing="0"/>
        <w:rPr>
          <w:rFonts w:ascii="Arial" w:hAnsi="Arial" w:cs="Arial"/>
          <w:sz w:val="20"/>
          <w:szCs w:val="20"/>
          <w:lang w:val="de-DE"/>
        </w:rPr>
      </w:pPr>
      <w:r w:rsidRPr="00786E8C">
        <w:rPr>
          <w:rFonts w:ascii="Arial" w:hAnsi="Arial" w:cs="Arial"/>
          <w:sz w:val="20"/>
          <w:szCs w:val="20"/>
          <w:lang w:val="de-DE"/>
        </w:rPr>
        <w:t xml:space="preserve">„Wir freuen uns, dass wir eine weitere erfolgreiche </w:t>
      </w:r>
      <w:r>
        <w:rPr>
          <w:rFonts w:ascii="Arial" w:hAnsi="Arial" w:cs="Arial"/>
          <w:sz w:val="20"/>
          <w:szCs w:val="20"/>
          <w:lang w:val="de-DE"/>
        </w:rPr>
        <w:t>Lösung für das Kundendatenm</w:t>
      </w:r>
      <w:r w:rsidRPr="00786E8C">
        <w:rPr>
          <w:rFonts w:ascii="Arial" w:hAnsi="Arial" w:cs="Arial"/>
          <w:sz w:val="20"/>
          <w:szCs w:val="20"/>
          <w:lang w:val="de-DE"/>
        </w:rPr>
        <w:t>anagement auf Basis unsere</w:t>
      </w:r>
      <w:r>
        <w:rPr>
          <w:rFonts w:ascii="Arial" w:hAnsi="Arial" w:cs="Arial"/>
          <w:sz w:val="20"/>
          <w:szCs w:val="20"/>
          <w:lang w:val="de-DE"/>
        </w:rPr>
        <w:t>r</w:t>
      </w:r>
      <w:r w:rsidRPr="00786E8C">
        <w:rPr>
          <w:rFonts w:ascii="Arial" w:hAnsi="Arial" w:cs="Arial"/>
          <w:sz w:val="20"/>
          <w:szCs w:val="20"/>
          <w:lang w:val="de-DE"/>
        </w:rPr>
        <w:t xml:space="preserve"> bewährten </w:t>
      </w:r>
      <w:r>
        <w:rPr>
          <w:rFonts w:ascii="Arial" w:hAnsi="Arial" w:cs="Arial"/>
          <w:sz w:val="20"/>
          <w:szCs w:val="20"/>
          <w:lang w:val="de-DE"/>
        </w:rPr>
        <w:t>Digital-Cu</w:t>
      </w:r>
      <w:r w:rsidRPr="00CC4A26">
        <w:rPr>
          <w:rFonts w:ascii="Arial" w:hAnsi="Arial" w:cs="Arial"/>
          <w:sz w:val="20"/>
          <w:szCs w:val="20"/>
          <w:lang w:val="de-DE"/>
        </w:rPr>
        <w:t xml:space="preserve">stomer-Twin-Plattform realisieren konnten“, sagt </w:t>
      </w:r>
      <w:r w:rsidR="00CC4A26" w:rsidRPr="00924425">
        <w:rPr>
          <w:rFonts w:ascii="Arial" w:hAnsi="Arial" w:cs="Arial"/>
          <w:sz w:val="20"/>
          <w:szCs w:val="20"/>
          <w:lang w:val="de-DE"/>
        </w:rPr>
        <w:t xml:space="preserve">Ralf Malter, </w:t>
      </w:r>
      <w:r w:rsidR="00B15CCB">
        <w:rPr>
          <w:rFonts w:ascii="Arial" w:hAnsi="Arial" w:cs="Arial"/>
          <w:sz w:val="20"/>
          <w:szCs w:val="20"/>
          <w:lang w:val="de-DE"/>
        </w:rPr>
        <w:t xml:space="preserve">Chief Operating Officer </w:t>
      </w:r>
      <w:r w:rsidR="00CC4A26" w:rsidRPr="00924425">
        <w:rPr>
          <w:rFonts w:ascii="Arial" w:hAnsi="Arial" w:cs="Arial"/>
          <w:sz w:val="20"/>
          <w:szCs w:val="20"/>
          <w:lang w:val="de-DE"/>
        </w:rPr>
        <w:t>und Geschäftsführer bei NTT DATA DACH</w:t>
      </w:r>
      <w:r w:rsidRPr="00CC4A26">
        <w:rPr>
          <w:rFonts w:ascii="Arial" w:hAnsi="Arial" w:cs="Arial"/>
          <w:sz w:val="20"/>
          <w:szCs w:val="20"/>
          <w:lang w:val="de-DE"/>
        </w:rPr>
        <w:t>. „</w:t>
      </w:r>
      <w:r w:rsidR="00CC4A26">
        <w:rPr>
          <w:rFonts w:ascii="Arial" w:hAnsi="Arial" w:cs="Arial"/>
          <w:sz w:val="20"/>
          <w:szCs w:val="20"/>
          <w:lang w:val="de-DE"/>
        </w:rPr>
        <w:t>Das Kundenfeedback zeigt die Vorteile: Unser System ist sehr gefragt und die hohe Qualität der Daten wird geschätzt.“</w:t>
      </w:r>
    </w:p>
    <w:p w14:paraId="27B1D144" w14:textId="77777777" w:rsidR="007C6BC5" w:rsidRPr="00CC4A26" w:rsidRDefault="007C6BC5" w:rsidP="00924425">
      <w:pPr>
        <w:pStyle w:val="Kommentartext"/>
        <w:rPr>
          <w:rFonts w:ascii="Arial" w:hAnsi="Arial" w:cs="Arial"/>
          <w:lang w:val="de-DE"/>
        </w:rPr>
      </w:pPr>
    </w:p>
    <w:p w14:paraId="30E8BEDB" w14:textId="09479962" w:rsidR="000E39A5" w:rsidRPr="00D25887" w:rsidRDefault="007C6BC5" w:rsidP="0079435A">
      <w:pPr>
        <w:pStyle w:val="StandardWeb"/>
        <w:spacing w:before="0" w:beforeAutospacing="0" w:after="0" w:afterAutospacing="0"/>
        <w:rPr>
          <w:rFonts w:ascii="Arial" w:hAnsi="Arial" w:cs="Arial"/>
          <w:sz w:val="20"/>
          <w:szCs w:val="20"/>
          <w:lang w:val="de-DE"/>
        </w:rPr>
      </w:pPr>
      <w:r w:rsidRPr="00786E8C">
        <w:rPr>
          <w:rFonts w:ascii="Arial" w:hAnsi="Arial" w:cs="Arial"/>
          <w:sz w:val="20"/>
          <w:szCs w:val="20"/>
          <w:lang w:val="de-DE"/>
        </w:rPr>
        <w:t>Die NTT DATA Digital</w:t>
      </w:r>
      <w:r>
        <w:rPr>
          <w:rFonts w:ascii="Arial" w:hAnsi="Arial" w:cs="Arial"/>
          <w:sz w:val="20"/>
          <w:szCs w:val="20"/>
          <w:lang w:val="de-DE"/>
        </w:rPr>
        <w:t>-</w:t>
      </w:r>
      <w:r w:rsidRPr="00786E8C">
        <w:rPr>
          <w:rFonts w:ascii="Arial" w:hAnsi="Arial" w:cs="Arial"/>
          <w:sz w:val="20"/>
          <w:szCs w:val="20"/>
          <w:lang w:val="de-DE"/>
        </w:rPr>
        <w:t>Customer</w:t>
      </w:r>
      <w:r>
        <w:rPr>
          <w:rFonts w:ascii="Arial" w:hAnsi="Arial" w:cs="Arial"/>
          <w:sz w:val="20"/>
          <w:szCs w:val="20"/>
          <w:lang w:val="de-DE"/>
        </w:rPr>
        <w:t>-</w:t>
      </w:r>
      <w:r w:rsidRPr="00786E8C">
        <w:rPr>
          <w:rFonts w:ascii="Arial" w:hAnsi="Arial" w:cs="Arial"/>
          <w:sz w:val="20"/>
          <w:szCs w:val="20"/>
          <w:lang w:val="de-DE"/>
        </w:rPr>
        <w:t>Twin</w:t>
      </w:r>
      <w:r>
        <w:rPr>
          <w:rFonts w:ascii="Arial" w:hAnsi="Arial" w:cs="Arial"/>
          <w:sz w:val="20"/>
          <w:szCs w:val="20"/>
          <w:lang w:val="de-DE"/>
        </w:rPr>
        <w:t>-</w:t>
      </w:r>
      <w:r w:rsidRPr="00786E8C">
        <w:rPr>
          <w:rFonts w:ascii="Arial" w:hAnsi="Arial" w:cs="Arial"/>
          <w:sz w:val="20"/>
          <w:szCs w:val="20"/>
          <w:lang w:val="de-DE"/>
        </w:rPr>
        <w:t>Plattform basiert auf neuesten Cloud</w:t>
      </w:r>
      <w:r>
        <w:rPr>
          <w:rFonts w:ascii="Arial" w:hAnsi="Arial" w:cs="Arial"/>
          <w:sz w:val="20"/>
          <w:szCs w:val="20"/>
          <w:lang w:val="de-DE"/>
        </w:rPr>
        <w:t>-</w:t>
      </w:r>
      <w:r w:rsidRPr="00786E8C">
        <w:rPr>
          <w:rFonts w:ascii="Arial" w:hAnsi="Arial" w:cs="Arial"/>
          <w:sz w:val="20"/>
          <w:szCs w:val="20"/>
          <w:lang w:val="de-DE"/>
        </w:rPr>
        <w:t>Architekturprinzipien und verfolgt einen starken „API</w:t>
      </w:r>
      <w:r>
        <w:rPr>
          <w:rFonts w:ascii="Arial" w:hAnsi="Arial" w:cs="Arial"/>
          <w:sz w:val="20"/>
          <w:szCs w:val="20"/>
          <w:lang w:val="de-DE"/>
        </w:rPr>
        <w:t>-</w:t>
      </w:r>
      <w:r w:rsidRPr="00786E8C">
        <w:rPr>
          <w:rFonts w:ascii="Arial" w:hAnsi="Arial" w:cs="Arial"/>
          <w:sz w:val="20"/>
          <w:szCs w:val="20"/>
          <w:lang w:val="de-DE"/>
        </w:rPr>
        <w:t>First“</w:t>
      </w:r>
      <w:r>
        <w:rPr>
          <w:rFonts w:ascii="Arial" w:hAnsi="Arial" w:cs="Arial"/>
          <w:sz w:val="20"/>
          <w:szCs w:val="20"/>
          <w:lang w:val="de-DE"/>
        </w:rPr>
        <w:t>-</w:t>
      </w:r>
      <w:r w:rsidRPr="00786E8C">
        <w:rPr>
          <w:rFonts w:ascii="Arial" w:hAnsi="Arial" w:cs="Arial"/>
          <w:sz w:val="20"/>
          <w:szCs w:val="20"/>
          <w:lang w:val="de-DE"/>
        </w:rPr>
        <w:t>Ansatz zur einfachen Integration verschiedene</w:t>
      </w:r>
      <w:r>
        <w:rPr>
          <w:rFonts w:ascii="Arial" w:hAnsi="Arial" w:cs="Arial"/>
          <w:sz w:val="20"/>
          <w:szCs w:val="20"/>
          <w:lang w:val="de-DE"/>
        </w:rPr>
        <w:t>r</w:t>
      </w:r>
      <w:r w:rsidRPr="00786E8C">
        <w:rPr>
          <w:rFonts w:ascii="Arial" w:hAnsi="Arial" w:cs="Arial"/>
          <w:sz w:val="20"/>
          <w:szCs w:val="20"/>
          <w:lang w:val="de-DE"/>
        </w:rPr>
        <w:t xml:space="preserve"> Systeme. Die Umsetzung erfolgt nach dem „</w:t>
      </w:r>
      <w:proofErr w:type="spellStart"/>
      <w:r w:rsidRPr="00786E8C">
        <w:rPr>
          <w:rFonts w:ascii="Arial" w:hAnsi="Arial" w:cs="Arial"/>
          <w:sz w:val="20"/>
          <w:szCs w:val="20"/>
          <w:lang w:val="de-DE"/>
        </w:rPr>
        <w:t>One</w:t>
      </w:r>
      <w:proofErr w:type="spellEnd"/>
      <w:r>
        <w:rPr>
          <w:rFonts w:ascii="Arial" w:hAnsi="Arial" w:cs="Arial"/>
          <w:sz w:val="20"/>
          <w:szCs w:val="20"/>
          <w:lang w:val="de-DE"/>
        </w:rPr>
        <w:t>-</w:t>
      </w:r>
      <w:proofErr w:type="spellStart"/>
      <w:r w:rsidRPr="00786E8C">
        <w:rPr>
          <w:rFonts w:ascii="Arial" w:hAnsi="Arial" w:cs="Arial"/>
          <w:sz w:val="20"/>
          <w:szCs w:val="20"/>
          <w:lang w:val="de-DE"/>
        </w:rPr>
        <w:t>Stop</w:t>
      </w:r>
      <w:proofErr w:type="spellEnd"/>
      <w:r>
        <w:rPr>
          <w:rFonts w:ascii="Arial" w:hAnsi="Arial" w:cs="Arial"/>
          <w:sz w:val="20"/>
          <w:szCs w:val="20"/>
          <w:lang w:val="de-DE"/>
        </w:rPr>
        <w:t>-</w:t>
      </w:r>
      <w:r w:rsidRPr="00786E8C">
        <w:rPr>
          <w:rFonts w:ascii="Arial" w:hAnsi="Arial" w:cs="Arial"/>
          <w:sz w:val="20"/>
          <w:szCs w:val="20"/>
          <w:lang w:val="de-DE"/>
        </w:rPr>
        <w:t>Konzept“ von de</w:t>
      </w:r>
      <w:r>
        <w:rPr>
          <w:rFonts w:ascii="Arial" w:hAnsi="Arial" w:cs="Arial"/>
          <w:sz w:val="20"/>
          <w:szCs w:val="20"/>
          <w:lang w:val="de-DE"/>
        </w:rPr>
        <w:t>r</w:t>
      </w:r>
      <w:r w:rsidRPr="00786E8C">
        <w:rPr>
          <w:rFonts w:ascii="Arial" w:hAnsi="Arial" w:cs="Arial"/>
          <w:sz w:val="20"/>
          <w:szCs w:val="20"/>
          <w:lang w:val="de-DE"/>
        </w:rPr>
        <w:t xml:space="preserve"> ersten konzeptionellen Überlegung bis hin zum Go</w:t>
      </w:r>
      <w:r>
        <w:rPr>
          <w:rFonts w:ascii="Arial" w:hAnsi="Arial" w:cs="Arial"/>
          <w:sz w:val="20"/>
          <w:szCs w:val="20"/>
          <w:lang w:val="de-DE"/>
        </w:rPr>
        <w:t>-</w:t>
      </w:r>
      <w:r w:rsidRPr="00786E8C">
        <w:rPr>
          <w:rFonts w:ascii="Arial" w:hAnsi="Arial" w:cs="Arial"/>
          <w:sz w:val="20"/>
          <w:szCs w:val="20"/>
          <w:lang w:val="de-DE"/>
        </w:rPr>
        <w:t xml:space="preserve">Live durch NTT DATA aus einer Hand. Die Lösung ist für den Betrieb in einer </w:t>
      </w:r>
      <w:r>
        <w:rPr>
          <w:rFonts w:ascii="Arial" w:hAnsi="Arial" w:cs="Arial"/>
          <w:sz w:val="20"/>
          <w:szCs w:val="20"/>
          <w:lang w:val="de-DE"/>
        </w:rPr>
        <w:t>öffentlichen</w:t>
      </w:r>
      <w:r w:rsidRPr="00786E8C">
        <w:rPr>
          <w:rFonts w:ascii="Arial" w:hAnsi="Arial" w:cs="Arial"/>
          <w:sz w:val="20"/>
          <w:szCs w:val="20"/>
          <w:lang w:val="de-DE"/>
        </w:rPr>
        <w:t xml:space="preserve"> oder private</w:t>
      </w:r>
      <w:r>
        <w:rPr>
          <w:rFonts w:ascii="Arial" w:hAnsi="Arial" w:cs="Arial"/>
          <w:sz w:val="20"/>
          <w:szCs w:val="20"/>
          <w:lang w:val="de-DE"/>
        </w:rPr>
        <w:t>n</w:t>
      </w:r>
      <w:r w:rsidRPr="00786E8C">
        <w:rPr>
          <w:rFonts w:ascii="Arial" w:hAnsi="Arial" w:cs="Arial"/>
          <w:sz w:val="20"/>
          <w:szCs w:val="20"/>
          <w:lang w:val="de-DE"/>
        </w:rPr>
        <w:t xml:space="preserve"> Cloud ausgelegt</w:t>
      </w:r>
      <w:r>
        <w:rPr>
          <w:rFonts w:ascii="Arial" w:hAnsi="Arial" w:cs="Arial"/>
          <w:sz w:val="20"/>
          <w:szCs w:val="20"/>
          <w:lang w:val="de-DE"/>
        </w:rPr>
        <w:t>,</w:t>
      </w:r>
      <w:r w:rsidRPr="00786E8C">
        <w:rPr>
          <w:rFonts w:ascii="Arial" w:hAnsi="Arial" w:cs="Arial"/>
          <w:sz w:val="20"/>
          <w:szCs w:val="20"/>
          <w:lang w:val="de-DE"/>
        </w:rPr>
        <w:t xml:space="preserve"> die Realisierung erfolgt agil auf Basis eines SCRUM</w:t>
      </w:r>
      <w:r>
        <w:rPr>
          <w:rFonts w:ascii="Arial" w:hAnsi="Arial" w:cs="Arial"/>
          <w:sz w:val="20"/>
          <w:szCs w:val="20"/>
          <w:lang w:val="de-DE"/>
        </w:rPr>
        <w:t>-</w:t>
      </w:r>
      <w:r w:rsidRPr="00786E8C">
        <w:rPr>
          <w:rFonts w:ascii="Arial" w:hAnsi="Arial" w:cs="Arial"/>
          <w:sz w:val="20"/>
          <w:szCs w:val="20"/>
          <w:lang w:val="de-DE"/>
        </w:rPr>
        <w:t>Team</w:t>
      </w:r>
      <w:r>
        <w:rPr>
          <w:rFonts w:ascii="Arial" w:hAnsi="Arial" w:cs="Arial"/>
          <w:sz w:val="20"/>
          <w:szCs w:val="20"/>
          <w:lang w:val="de-DE"/>
        </w:rPr>
        <w:t>-</w:t>
      </w:r>
      <w:r w:rsidRPr="00786E8C">
        <w:rPr>
          <w:rFonts w:ascii="Arial" w:hAnsi="Arial" w:cs="Arial"/>
          <w:sz w:val="20"/>
          <w:szCs w:val="20"/>
          <w:lang w:val="de-DE"/>
        </w:rPr>
        <w:t>Ansatzes.</w:t>
      </w:r>
      <w:r>
        <w:rPr>
          <w:rFonts w:ascii="Arial" w:hAnsi="Arial" w:cs="Arial"/>
          <w:sz w:val="20"/>
          <w:szCs w:val="20"/>
          <w:lang w:val="de-DE"/>
        </w:rPr>
        <w:t xml:space="preserve"> Den Source-Code teilt NTT DATA mit seinen Kunden, damit diese Anpassungen wie zum Beispiel für den Datenschutz flexibel selbst vor</w:t>
      </w:r>
      <w:r w:rsidRPr="00D25887">
        <w:rPr>
          <w:rFonts w:ascii="Arial" w:hAnsi="Arial" w:cs="Arial"/>
          <w:sz w:val="20"/>
          <w:szCs w:val="20"/>
          <w:lang w:val="de-DE"/>
        </w:rPr>
        <w:t>nehmen können.</w:t>
      </w:r>
    </w:p>
    <w:p w14:paraId="7B1D8EBD" w14:textId="77777777" w:rsidR="0079435A" w:rsidRPr="00D25887" w:rsidRDefault="0079435A" w:rsidP="007C6BC5">
      <w:pPr>
        <w:pStyle w:val="StandardWeb"/>
        <w:spacing w:before="0" w:beforeAutospacing="0" w:after="0" w:afterAutospacing="0"/>
        <w:jc w:val="both"/>
        <w:rPr>
          <w:rFonts w:ascii="Arial" w:hAnsi="Arial" w:cs="Arial"/>
          <w:sz w:val="20"/>
          <w:szCs w:val="20"/>
          <w:lang w:val="de-DE"/>
        </w:rPr>
      </w:pPr>
    </w:p>
    <w:p w14:paraId="20707914" w14:textId="3C77E240" w:rsidR="00D25887" w:rsidRPr="00D25887" w:rsidRDefault="0079435A" w:rsidP="00D25887">
      <w:pPr>
        <w:rPr>
          <w:rFonts w:ascii="Arial" w:eastAsia="Times New Roman" w:hAnsi="Arial" w:cs="Arial"/>
          <w:sz w:val="20"/>
          <w:szCs w:val="20"/>
          <w:lang w:val="de-AT" w:eastAsia="de-AT"/>
        </w:rPr>
      </w:pPr>
      <w:r w:rsidRPr="00D25887">
        <w:rPr>
          <w:rFonts w:ascii="Arial" w:eastAsia="Times New Roman" w:hAnsi="Arial" w:cs="Arial"/>
          <w:sz w:val="20"/>
          <w:szCs w:val="20"/>
          <w:lang w:val="de-DE" w:eastAsia="it-IT"/>
        </w:rPr>
        <w:t xml:space="preserve">Weitere Informationen </w:t>
      </w:r>
      <w:r w:rsidR="00D25887">
        <w:rPr>
          <w:rFonts w:ascii="Arial" w:eastAsia="Times New Roman" w:hAnsi="Arial" w:cs="Arial"/>
          <w:sz w:val="20"/>
          <w:szCs w:val="20"/>
          <w:lang w:val="de-DE" w:eastAsia="it-IT"/>
        </w:rPr>
        <w:t xml:space="preserve">zur </w:t>
      </w:r>
      <w:r w:rsidR="00D25887" w:rsidRPr="00D25887">
        <w:rPr>
          <w:rFonts w:ascii="Arial" w:eastAsia="Times New Roman" w:hAnsi="Arial" w:cs="Arial"/>
          <w:sz w:val="20"/>
          <w:szCs w:val="20"/>
          <w:lang w:val="de-DE" w:eastAsia="it-IT"/>
        </w:rPr>
        <w:t>Digital-Customer-</w:t>
      </w:r>
      <w:proofErr w:type="spellStart"/>
      <w:r w:rsidR="00D25887" w:rsidRPr="00D25887">
        <w:rPr>
          <w:rFonts w:ascii="Arial" w:eastAsia="Times New Roman" w:hAnsi="Arial" w:cs="Arial"/>
          <w:sz w:val="20"/>
          <w:szCs w:val="20"/>
          <w:lang w:val="de-DE" w:eastAsia="it-IT"/>
        </w:rPr>
        <w:t>Twin</w:t>
      </w:r>
      <w:proofErr w:type="spellEnd"/>
      <w:r w:rsidR="00D25887" w:rsidRPr="00D25887">
        <w:rPr>
          <w:rFonts w:ascii="Arial" w:eastAsia="Times New Roman" w:hAnsi="Arial" w:cs="Arial"/>
          <w:sz w:val="20"/>
          <w:szCs w:val="20"/>
          <w:lang w:val="de-DE" w:eastAsia="it-IT"/>
        </w:rPr>
        <w:t>-Lösung</w:t>
      </w:r>
      <w:r w:rsidRPr="00D25887">
        <w:rPr>
          <w:rFonts w:ascii="Arial" w:eastAsia="Times New Roman" w:hAnsi="Arial" w:cs="Arial"/>
          <w:sz w:val="20"/>
          <w:szCs w:val="20"/>
          <w:lang w:val="de-DE" w:eastAsia="it-IT"/>
        </w:rPr>
        <w:t xml:space="preserve"> finden Sie unt</w:t>
      </w:r>
      <w:r w:rsidRPr="00D25887">
        <w:rPr>
          <w:rFonts w:ascii="Arial" w:hAnsi="Arial" w:cs="Arial"/>
          <w:sz w:val="20"/>
          <w:szCs w:val="20"/>
          <w:lang w:val="de-DE"/>
        </w:rPr>
        <w:t xml:space="preserve">er: </w:t>
      </w:r>
      <w:hyperlink r:id="rId10" w:history="1">
        <w:r w:rsidR="00D25887" w:rsidRPr="00D25887">
          <w:rPr>
            <w:rStyle w:val="Hyperlink"/>
            <w:rFonts w:ascii="Arial" w:eastAsia="Times New Roman" w:hAnsi="Arial" w:cs="Arial"/>
            <w:sz w:val="20"/>
            <w:szCs w:val="20"/>
            <w:lang w:val="de-AT" w:eastAsia="de-AT"/>
          </w:rPr>
          <w:t>https://de.nttdata.com/insights/success-story/daimler-trucks</w:t>
        </w:r>
      </w:hyperlink>
    </w:p>
    <w:p w14:paraId="7517ECC3" w14:textId="35839A82" w:rsidR="0079435A" w:rsidRPr="00D25887" w:rsidRDefault="0079435A" w:rsidP="0079435A">
      <w:pPr>
        <w:rPr>
          <w:rFonts w:ascii="Arial" w:hAnsi="Arial" w:cs="Arial"/>
          <w:sz w:val="20"/>
          <w:szCs w:val="20"/>
          <w:highlight w:val="yellow"/>
          <w:lang w:val="de-AT"/>
        </w:rPr>
      </w:pPr>
    </w:p>
    <w:p w14:paraId="14CB45B8" w14:textId="77777777" w:rsidR="00D25887" w:rsidRPr="00D25887" w:rsidRDefault="00D25887" w:rsidP="0079435A">
      <w:pPr>
        <w:rPr>
          <w:rFonts w:ascii="Arial" w:hAnsi="Arial" w:cs="Arial"/>
          <w:sz w:val="20"/>
          <w:szCs w:val="20"/>
          <w:highlight w:val="yellow"/>
          <w:lang w:val="de-AT"/>
        </w:rPr>
      </w:pPr>
    </w:p>
    <w:p w14:paraId="4A872E10" w14:textId="689F4B5E" w:rsidR="00845677" w:rsidRDefault="00634EE4" w:rsidP="005F410F">
      <w:pPr>
        <w:rPr>
          <w:rFonts w:ascii="Arial" w:hAnsi="Arial" w:cs="Arial"/>
          <w:b/>
          <w:bCs/>
          <w:sz w:val="22"/>
          <w:szCs w:val="22"/>
          <w:lang w:val="de-AT"/>
        </w:rPr>
      </w:pPr>
      <w:r w:rsidRPr="00D25887">
        <w:rPr>
          <w:rFonts w:ascii="Arial" w:hAnsi="Arial" w:cs="Arial"/>
          <w:b/>
          <w:bCs/>
          <w:sz w:val="20"/>
          <w:szCs w:val="20"/>
          <w:lang w:val="de-AT"/>
        </w:rPr>
        <w:t>Über</w:t>
      </w:r>
      <w:r w:rsidR="00845677" w:rsidRPr="00D25887">
        <w:rPr>
          <w:rFonts w:ascii="Arial" w:hAnsi="Arial" w:cs="Arial"/>
          <w:b/>
          <w:bCs/>
          <w:sz w:val="20"/>
          <w:szCs w:val="20"/>
          <w:lang w:val="de-AT"/>
        </w:rPr>
        <w:t xml:space="preserve"> NTT D</w:t>
      </w:r>
      <w:r w:rsidR="00845677" w:rsidRPr="00634EE4">
        <w:rPr>
          <w:rFonts w:ascii="Arial" w:hAnsi="Arial" w:cs="Arial"/>
          <w:b/>
          <w:bCs/>
          <w:sz w:val="22"/>
          <w:szCs w:val="22"/>
          <w:lang w:val="de-AT"/>
        </w:rPr>
        <w:t>ATA</w:t>
      </w:r>
    </w:p>
    <w:p w14:paraId="12E22D5A" w14:textId="77777777" w:rsidR="00634EE4" w:rsidRPr="00634EE4" w:rsidRDefault="00634EE4" w:rsidP="005F410F">
      <w:pPr>
        <w:rPr>
          <w:rFonts w:ascii="Arial" w:hAnsi="Arial" w:cs="Arial"/>
          <w:b/>
          <w:bCs/>
          <w:sz w:val="22"/>
          <w:szCs w:val="22"/>
          <w:lang w:val="de-AT"/>
        </w:rPr>
      </w:pPr>
    </w:p>
    <w:p w14:paraId="01381404" w14:textId="142EB977"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Trusted Global Innovator von Business- und IT-Lösungen mit Hauptsitz in Tokio. Wir unterstützen unsere Kunden bei ihrer Transformation durch </w:t>
      </w:r>
      <w:r w:rsidRPr="000F0622">
        <w:rPr>
          <w:rFonts w:ascii="Arial" w:eastAsiaTheme="minorHAnsi" w:hAnsi="Arial" w:cs="Arial"/>
          <w:color w:val="000000" w:themeColor="text1"/>
          <w:sz w:val="20"/>
          <w:szCs w:val="22"/>
          <w:lang w:val="de-DE" w:eastAsia="en-US"/>
        </w:rPr>
        <w:lastRenderedPageBreak/>
        <w:t xml:space="preserve">Consulting, Branchenlösungen, Business Process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IT-Modernisierung und Managed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1" w:history="1">
        <w:r w:rsidR="00845677" w:rsidRPr="00634EE4">
          <w:rPr>
            <w:rStyle w:val="Hyperlink"/>
            <w:rFonts w:ascii="Arial" w:hAnsi="Arial" w:cs="Arial"/>
            <w:sz w:val="20"/>
            <w:szCs w:val="20"/>
          </w:rPr>
          <w:t>nttdata.com.</w:t>
        </w:r>
      </w:hyperlink>
    </w:p>
    <w:p w14:paraId="01FC064D" w14:textId="78CADA84" w:rsidR="00D35710" w:rsidRPr="0039177E" w:rsidRDefault="00D35710" w:rsidP="005F410F">
      <w:pPr>
        <w:rPr>
          <w:rFonts w:ascii="Arial" w:eastAsia="DengXian" w:hAnsi="Arial" w:cs="Arial"/>
          <w:sz w:val="20"/>
          <w:szCs w:val="20"/>
          <w:lang w:val="de-AT"/>
        </w:rPr>
      </w:pPr>
    </w:p>
    <w:p w14:paraId="1470E1A1" w14:textId="77777777" w:rsidR="007C423E" w:rsidRPr="006C3B5D" w:rsidRDefault="007C423E" w:rsidP="007C423E">
      <w:pPr>
        <w:pStyle w:val="StandardWeb"/>
        <w:spacing w:before="0" w:beforeAutospacing="0" w:after="0" w:afterAutospacing="0"/>
        <w:ind w:right="-1"/>
        <w:rPr>
          <w:rFonts w:ascii="Arial" w:eastAsiaTheme="minorHAnsi" w:hAnsi="Arial" w:cs="Arial"/>
          <w:sz w:val="20"/>
          <w:szCs w:val="20"/>
          <w:lang w:val="de-DE" w:eastAsia="en-US"/>
        </w:rPr>
      </w:pPr>
      <w:r w:rsidRPr="006C3B5D">
        <w:rPr>
          <w:rFonts w:ascii="Arial" w:eastAsiaTheme="minorHAnsi" w:hAnsi="Arial" w:cs="Arial"/>
          <w:sz w:val="20"/>
          <w:szCs w:val="20"/>
          <w:lang w:val="de-DE" w:eastAsia="en-US"/>
        </w:rPr>
        <w:t xml:space="preserve">Deutschland unter </w:t>
      </w:r>
      <w:hyperlink r:id="rId12" w:history="1">
        <w:r w:rsidRPr="008F6FAE">
          <w:rPr>
            <w:rStyle w:val="Hyperlink"/>
            <w:rFonts w:ascii="Arial" w:hAnsi="Arial" w:cs="Arial"/>
            <w:sz w:val="20"/>
            <w:szCs w:val="20"/>
          </w:rPr>
          <w:t>de.nttdata.com</w:t>
        </w:r>
      </w:hyperlink>
      <w:r w:rsidRPr="006C3B5D">
        <w:rPr>
          <w:rFonts w:ascii="Arial" w:eastAsiaTheme="minorHAnsi" w:hAnsi="Arial" w:cs="Arial"/>
          <w:sz w:val="20"/>
          <w:szCs w:val="20"/>
          <w:lang w:val="de-DE" w:eastAsia="en-US"/>
        </w:rPr>
        <w:br/>
        <w:t xml:space="preserve">Österreich unter </w:t>
      </w:r>
      <w:hyperlink r:id="rId13" w:history="1">
        <w:r w:rsidRPr="008F6FAE">
          <w:rPr>
            <w:rStyle w:val="Hyperlink"/>
            <w:rFonts w:ascii="Arial" w:hAnsi="Arial" w:cs="Arial"/>
            <w:sz w:val="20"/>
            <w:szCs w:val="20"/>
          </w:rPr>
          <w:t>at.nttdata.com</w:t>
        </w:r>
      </w:hyperlink>
      <w:r w:rsidRPr="006C3B5D">
        <w:rPr>
          <w:rFonts w:ascii="Arial" w:eastAsiaTheme="minorHAnsi" w:hAnsi="Arial" w:cs="Arial"/>
          <w:sz w:val="20"/>
          <w:szCs w:val="20"/>
          <w:lang w:val="de-DE" w:eastAsia="en-US"/>
        </w:rPr>
        <w:br/>
        <w:t xml:space="preserve">Schweiz unter </w:t>
      </w:r>
      <w:hyperlink r:id="rId14" w:history="1">
        <w:r w:rsidRPr="008F6FAE">
          <w:rPr>
            <w:rStyle w:val="Hyperlink"/>
            <w:rFonts w:ascii="Arial" w:hAnsi="Arial" w:cs="Arial"/>
            <w:sz w:val="20"/>
            <w:szCs w:val="20"/>
          </w:rPr>
          <w:t>ch.nttdata.com</w:t>
        </w:r>
      </w:hyperlink>
    </w:p>
    <w:p w14:paraId="192DF01E" w14:textId="1261739C" w:rsidR="00634EE4" w:rsidRPr="00634EE4" w:rsidRDefault="00634EE4" w:rsidP="005F410F">
      <w:pPr>
        <w:rPr>
          <w:rFonts w:ascii="Arial" w:eastAsia="DengXian" w:hAnsi="Arial" w:cs="Arial"/>
          <w:sz w:val="20"/>
          <w:szCs w:val="20"/>
          <w:lang w:val="de-DE"/>
        </w:rPr>
      </w:pPr>
    </w:p>
    <w:p w14:paraId="3F9CF0CD" w14:textId="77777777" w:rsidR="00634EE4" w:rsidRPr="00634EE4" w:rsidRDefault="00634EE4" w:rsidP="005F410F">
      <w:pPr>
        <w:rPr>
          <w:rFonts w:ascii="Arial" w:eastAsia="DengXian" w:hAnsi="Arial" w:cs="Arial"/>
          <w:sz w:val="20"/>
          <w:szCs w:val="20"/>
          <w:lang w:val="de-AT"/>
        </w:rPr>
      </w:pPr>
    </w:p>
    <w:p w14:paraId="61B4B7B8" w14:textId="49B58121" w:rsidR="00634EE4" w:rsidRPr="00EE19B5" w:rsidRDefault="00634EE4" w:rsidP="005F410F">
      <w:pPr>
        <w:rPr>
          <w:rFonts w:ascii="Arial" w:hAnsi="Arial" w:cs="Arial"/>
          <w:b/>
          <w:color w:val="000000" w:themeColor="text1"/>
          <w:sz w:val="20"/>
          <w:szCs w:val="20"/>
          <w:lang w:val="de-DE"/>
        </w:rPr>
      </w:pPr>
      <w:r w:rsidRPr="00EE19B5">
        <w:rPr>
          <w:rFonts w:ascii="Arial" w:hAnsi="Arial" w:cs="Arial"/>
          <w:b/>
          <w:color w:val="000000" w:themeColor="text1"/>
          <w:sz w:val="20"/>
          <w:szCs w:val="20"/>
          <w:lang w:val="de-DE"/>
        </w:rPr>
        <w:t>Pressekontakt für Deutschland, Österreich und Schweiz:</w:t>
      </w:r>
    </w:p>
    <w:p w14:paraId="01829874" w14:textId="77777777" w:rsidR="00FB6B76" w:rsidRPr="00EE19B5"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EE19B5"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EE19B5">
        <w:rPr>
          <w:rFonts w:ascii="Arial" w:eastAsiaTheme="minorHAnsi" w:hAnsi="Arial" w:cs="Arial"/>
          <w:color w:val="000000" w:themeColor="text1"/>
          <w:sz w:val="20"/>
          <w:szCs w:val="20"/>
          <w:lang w:val="de-AT" w:eastAsia="en-US"/>
        </w:rPr>
        <w:t xml:space="preserve">NTT DATA </w:t>
      </w:r>
      <w:r w:rsidRPr="00EE19B5">
        <w:rPr>
          <w:rFonts w:ascii="Arial" w:eastAsiaTheme="minorHAnsi" w:hAnsi="Arial" w:cs="Arial"/>
          <w:sz w:val="20"/>
          <w:szCs w:val="20"/>
          <w:lang w:val="de-AT" w:eastAsia="en-US"/>
        </w:rPr>
        <w:t>DACH</w:t>
      </w:r>
    </w:p>
    <w:p w14:paraId="24754F65" w14:textId="3BD12420" w:rsidR="00634EE4" w:rsidRPr="00EE19B5"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EE19B5">
        <w:rPr>
          <w:rFonts w:ascii="Arial" w:eastAsiaTheme="minorHAnsi" w:hAnsi="Arial" w:cs="Arial"/>
          <w:sz w:val="20"/>
          <w:szCs w:val="20"/>
          <w:lang w:val="de-AT" w:eastAsia="en-US"/>
        </w:rPr>
        <w:t>Cornelia Spitzer, BA</w:t>
      </w:r>
    </w:p>
    <w:p w14:paraId="4373948E" w14:textId="252C7B36" w:rsidR="00634EE4" w:rsidRPr="00EE19B5"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EE19B5">
        <w:rPr>
          <w:rFonts w:ascii="Arial" w:eastAsiaTheme="minorHAnsi" w:hAnsi="Arial" w:cs="Arial"/>
          <w:sz w:val="20"/>
          <w:szCs w:val="20"/>
          <w:lang w:val="de-AT" w:eastAsia="en-US"/>
        </w:rPr>
        <w:t xml:space="preserve">Press Manager DACH </w:t>
      </w:r>
    </w:p>
    <w:p w14:paraId="4416F4A3" w14:textId="27F9913C" w:rsidR="00634EE4" w:rsidRPr="00EE19B5"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sidRPr="00EE19B5">
        <w:rPr>
          <w:rFonts w:ascii="Arial" w:eastAsiaTheme="minorHAnsi" w:hAnsi="Arial" w:cs="Arial"/>
          <w:sz w:val="20"/>
          <w:szCs w:val="20"/>
          <w:lang w:val="de-DE" w:eastAsia="en-US"/>
        </w:rPr>
        <w:t>Tel.: +43 664 8847 8903</w:t>
      </w:r>
    </w:p>
    <w:p w14:paraId="13DB1463" w14:textId="4237473F" w:rsidR="00FB6B76" w:rsidRPr="00EE19B5" w:rsidRDefault="00634EE4" w:rsidP="005F410F">
      <w:pPr>
        <w:rPr>
          <w:rStyle w:val="Hyperlink"/>
          <w:rFonts w:ascii="Arial" w:hAnsi="Arial" w:cs="Arial"/>
          <w:sz w:val="20"/>
          <w:szCs w:val="20"/>
          <w:lang w:val="de-DE"/>
        </w:rPr>
      </w:pPr>
      <w:r w:rsidRPr="00EE19B5">
        <w:rPr>
          <w:rFonts w:ascii="Arial" w:hAnsi="Arial" w:cs="Arial"/>
          <w:sz w:val="20"/>
          <w:szCs w:val="20"/>
          <w:lang w:val="de-DE"/>
        </w:rPr>
        <w:t xml:space="preserve">E-Mail: </w:t>
      </w:r>
      <w:hyperlink r:id="rId15" w:history="1">
        <w:r w:rsidR="00205AE2" w:rsidRPr="00EE19B5">
          <w:rPr>
            <w:rStyle w:val="Hyperlink"/>
            <w:rFonts w:ascii="Arial" w:hAnsi="Arial" w:cs="Arial"/>
            <w:sz w:val="20"/>
            <w:szCs w:val="20"/>
            <w:lang w:val="de-DE"/>
          </w:rPr>
          <w:t>cornelia.spitzer@nttdata</w:t>
        </w:r>
      </w:hyperlink>
      <w:r w:rsidR="00205AE2" w:rsidRPr="00EE19B5">
        <w:rPr>
          <w:rStyle w:val="Hyperlink"/>
          <w:rFonts w:ascii="Arial" w:hAnsi="Arial" w:cs="Arial"/>
          <w:sz w:val="20"/>
          <w:szCs w:val="20"/>
          <w:lang w:val="de-DE"/>
        </w:rPr>
        <w:t>.c</w:t>
      </w:r>
      <w:r w:rsidR="00205AE2" w:rsidRPr="00EE19B5">
        <w:rPr>
          <w:rStyle w:val="Hyperlink"/>
          <w:rFonts w:ascii="Arial" w:hAnsi="Arial" w:cs="Arial"/>
          <w:sz w:val="20"/>
          <w:szCs w:val="20"/>
          <w:lang w:val="de-AT"/>
        </w:rPr>
        <w:t>om</w:t>
      </w:r>
    </w:p>
    <w:p w14:paraId="7E4650E3" w14:textId="6A9A1B09" w:rsidR="00D65C5B" w:rsidRPr="00EE19B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DE" w:eastAsia="en-US"/>
        </w:rPr>
      </w:pPr>
    </w:p>
    <w:p w14:paraId="350C0ACD" w14:textId="2A072ED8" w:rsidR="00D65C5B" w:rsidRPr="00EE19B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DE" w:eastAsia="en-US"/>
        </w:rPr>
      </w:pPr>
    </w:p>
    <w:p w14:paraId="709CDC2C" w14:textId="24ADEEE3" w:rsidR="00D65C5B"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Gabriela Ölschläger</w:t>
      </w:r>
    </w:p>
    <w:p w14:paraId="2BC464C5" w14:textId="7E2B06C5"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Senior Consultant</w:t>
      </w:r>
    </w:p>
    <w:p w14:paraId="53AFBCC2" w14:textId="5CEF3172"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Tel.: +49 7071 93872 217</w:t>
      </w:r>
    </w:p>
    <w:p w14:paraId="241679E3" w14:textId="4F3169A5"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 xml:space="preserve">E-Mail: </w:t>
      </w:r>
      <w:hyperlink r:id="rId16" w:history="1">
        <w:r w:rsidRPr="00EE19B5">
          <w:rPr>
            <w:rStyle w:val="Hyperlink"/>
            <w:rFonts w:ascii="Arial" w:eastAsiaTheme="minorHAnsi" w:hAnsi="Arial" w:cs="Arial"/>
            <w:sz w:val="20"/>
            <w:szCs w:val="20"/>
            <w:lang w:val="en-US" w:eastAsia="en-US"/>
          </w:rPr>
          <w:t>g.oelschlaeger@storymaker.de</w:t>
        </w:r>
      </w:hyperlink>
    </w:p>
    <w:sectPr w:rsidR="005E3785" w:rsidRPr="00EE19B5" w:rsidSect="005E3785">
      <w:headerReference w:type="default" r:id="rId17"/>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271E2" w14:textId="77777777" w:rsidR="004626D7" w:rsidRDefault="004626D7" w:rsidP="00845677">
      <w:r>
        <w:separator/>
      </w:r>
    </w:p>
  </w:endnote>
  <w:endnote w:type="continuationSeparator" w:id="0">
    <w:p w14:paraId="13ABF6A0" w14:textId="77777777" w:rsidR="004626D7" w:rsidRDefault="004626D7"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B281" w14:textId="77777777" w:rsidR="004626D7" w:rsidRDefault="004626D7" w:rsidP="00845677">
      <w:r>
        <w:separator/>
      </w:r>
    </w:p>
  </w:footnote>
  <w:footnote w:type="continuationSeparator" w:id="0">
    <w:p w14:paraId="6B175ADB" w14:textId="77777777" w:rsidR="004626D7" w:rsidRDefault="004626D7"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4626D7"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45132"/>
    <w:rsid w:val="00051BDD"/>
    <w:rsid w:val="00083D1D"/>
    <w:rsid w:val="000D59D5"/>
    <w:rsid w:val="000E39A5"/>
    <w:rsid w:val="000F2843"/>
    <w:rsid w:val="00120585"/>
    <w:rsid w:val="0012576C"/>
    <w:rsid w:val="00170CFE"/>
    <w:rsid w:val="00186421"/>
    <w:rsid w:val="00195F33"/>
    <w:rsid w:val="001B6BCC"/>
    <w:rsid w:val="001D1D2C"/>
    <w:rsid w:val="001F58CB"/>
    <w:rsid w:val="001F7DD6"/>
    <w:rsid w:val="00205AE2"/>
    <w:rsid w:val="00210FFD"/>
    <w:rsid w:val="00222328"/>
    <w:rsid w:val="00231BA1"/>
    <w:rsid w:val="0023620D"/>
    <w:rsid w:val="00263A49"/>
    <w:rsid w:val="0026780F"/>
    <w:rsid w:val="002736ED"/>
    <w:rsid w:val="00275ED7"/>
    <w:rsid w:val="00276328"/>
    <w:rsid w:val="002C5A8D"/>
    <w:rsid w:val="00304F73"/>
    <w:rsid w:val="00346FF1"/>
    <w:rsid w:val="00356B05"/>
    <w:rsid w:val="00367B23"/>
    <w:rsid w:val="00381639"/>
    <w:rsid w:val="00385F71"/>
    <w:rsid w:val="0039177E"/>
    <w:rsid w:val="00392DEB"/>
    <w:rsid w:val="003971F6"/>
    <w:rsid w:val="003D1278"/>
    <w:rsid w:val="003E0D86"/>
    <w:rsid w:val="003E18F3"/>
    <w:rsid w:val="003E29BB"/>
    <w:rsid w:val="003F0E8F"/>
    <w:rsid w:val="00425C0E"/>
    <w:rsid w:val="004626D7"/>
    <w:rsid w:val="00481FC9"/>
    <w:rsid w:val="00491448"/>
    <w:rsid w:val="0049186C"/>
    <w:rsid w:val="00496034"/>
    <w:rsid w:val="004A1C37"/>
    <w:rsid w:val="004E0B83"/>
    <w:rsid w:val="0055763B"/>
    <w:rsid w:val="00584B7C"/>
    <w:rsid w:val="00594539"/>
    <w:rsid w:val="0059583D"/>
    <w:rsid w:val="005B58EB"/>
    <w:rsid w:val="005C3F75"/>
    <w:rsid w:val="005C62C2"/>
    <w:rsid w:val="005E1394"/>
    <w:rsid w:val="005E1D39"/>
    <w:rsid w:val="005E3652"/>
    <w:rsid w:val="005E3785"/>
    <w:rsid w:val="005E6BFE"/>
    <w:rsid w:val="005F410F"/>
    <w:rsid w:val="0060077D"/>
    <w:rsid w:val="00621FA1"/>
    <w:rsid w:val="006335AF"/>
    <w:rsid w:val="00633AA7"/>
    <w:rsid w:val="00634EE4"/>
    <w:rsid w:val="00641089"/>
    <w:rsid w:val="00645BD9"/>
    <w:rsid w:val="0066345B"/>
    <w:rsid w:val="00687B19"/>
    <w:rsid w:val="006A1735"/>
    <w:rsid w:val="006E60CD"/>
    <w:rsid w:val="00707AD2"/>
    <w:rsid w:val="00711507"/>
    <w:rsid w:val="00723228"/>
    <w:rsid w:val="007304B4"/>
    <w:rsid w:val="0073550F"/>
    <w:rsid w:val="00752923"/>
    <w:rsid w:val="00781762"/>
    <w:rsid w:val="00793D20"/>
    <w:rsid w:val="0079435A"/>
    <w:rsid w:val="007C423E"/>
    <w:rsid w:val="007C6BC5"/>
    <w:rsid w:val="00820376"/>
    <w:rsid w:val="00824297"/>
    <w:rsid w:val="00841700"/>
    <w:rsid w:val="00845677"/>
    <w:rsid w:val="0089392A"/>
    <w:rsid w:val="008B1588"/>
    <w:rsid w:val="008B6D74"/>
    <w:rsid w:val="008D2F9A"/>
    <w:rsid w:val="008D6C37"/>
    <w:rsid w:val="00913100"/>
    <w:rsid w:val="00924425"/>
    <w:rsid w:val="00955976"/>
    <w:rsid w:val="0099190B"/>
    <w:rsid w:val="009E3C0C"/>
    <w:rsid w:val="00A066D4"/>
    <w:rsid w:val="00A22CBC"/>
    <w:rsid w:val="00A23A7B"/>
    <w:rsid w:val="00A251AE"/>
    <w:rsid w:val="00A36474"/>
    <w:rsid w:val="00A41D12"/>
    <w:rsid w:val="00A42A24"/>
    <w:rsid w:val="00A53487"/>
    <w:rsid w:val="00AA4E93"/>
    <w:rsid w:val="00AF4863"/>
    <w:rsid w:val="00B02824"/>
    <w:rsid w:val="00B15CCB"/>
    <w:rsid w:val="00B30961"/>
    <w:rsid w:val="00B32A38"/>
    <w:rsid w:val="00B60BDD"/>
    <w:rsid w:val="00B63711"/>
    <w:rsid w:val="00B6722D"/>
    <w:rsid w:val="00B8672F"/>
    <w:rsid w:val="00B87B66"/>
    <w:rsid w:val="00BA7BEA"/>
    <w:rsid w:val="00BB374D"/>
    <w:rsid w:val="00C069AA"/>
    <w:rsid w:val="00C13CB3"/>
    <w:rsid w:val="00C20B82"/>
    <w:rsid w:val="00C25E1B"/>
    <w:rsid w:val="00C4035E"/>
    <w:rsid w:val="00C871EE"/>
    <w:rsid w:val="00CA4890"/>
    <w:rsid w:val="00CC4A26"/>
    <w:rsid w:val="00CD5A3E"/>
    <w:rsid w:val="00D01A54"/>
    <w:rsid w:val="00D156B7"/>
    <w:rsid w:val="00D25887"/>
    <w:rsid w:val="00D35710"/>
    <w:rsid w:val="00D65C5B"/>
    <w:rsid w:val="00D925F8"/>
    <w:rsid w:val="00DB1670"/>
    <w:rsid w:val="00DD4BC2"/>
    <w:rsid w:val="00DD7EE6"/>
    <w:rsid w:val="00E02B25"/>
    <w:rsid w:val="00E17153"/>
    <w:rsid w:val="00E2177B"/>
    <w:rsid w:val="00E33A80"/>
    <w:rsid w:val="00E41E67"/>
    <w:rsid w:val="00E92806"/>
    <w:rsid w:val="00E95598"/>
    <w:rsid w:val="00E974B8"/>
    <w:rsid w:val="00ED0FF0"/>
    <w:rsid w:val="00EE19B5"/>
    <w:rsid w:val="00F21AD3"/>
    <w:rsid w:val="00F36854"/>
    <w:rsid w:val="00F6588A"/>
    <w:rsid w:val="00F84075"/>
    <w:rsid w:val="00FA2D77"/>
    <w:rsid w:val="00FB0B6B"/>
    <w:rsid w:val="00FB6B76"/>
    <w:rsid w:val="00FE2087"/>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561990345">
      <w:bodyDiv w:val="1"/>
      <w:marLeft w:val="0"/>
      <w:marRight w:val="0"/>
      <w:marTop w:val="0"/>
      <w:marBottom w:val="0"/>
      <w:divBdr>
        <w:top w:val="none" w:sz="0" w:space="0" w:color="auto"/>
        <w:left w:val="none" w:sz="0" w:space="0" w:color="auto"/>
        <w:bottom w:val="none" w:sz="0" w:space="0" w:color="auto"/>
        <w:right w:val="none" w:sz="0" w:space="0" w:color="auto"/>
      </w:divBdr>
      <w:divsChild>
        <w:div w:id="1998069026">
          <w:marLeft w:val="0"/>
          <w:marRight w:val="0"/>
          <w:marTop w:val="0"/>
          <w:marBottom w:val="0"/>
          <w:divBdr>
            <w:top w:val="none" w:sz="0" w:space="0" w:color="auto"/>
            <w:left w:val="none" w:sz="0" w:space="0" w:color="auto"/>
            <w:bottom w:val="none" w:sz="0" w:space="0" w:color="auto"/>
            <w:right w:val="none" w:sz="0" w:space="0" w:color="auto"/>
          </w:divBdr>
        </w:div>
      </w:divsChild>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nttdat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https://de.nttdat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oelschlaeger@storymake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tdata.com/global/en/" TargetMode="External"/><Relationship Id="rId5" Type="http://schemas.openxmlformats.org/officeDocument/2006/relationships/footnotes" Target="footnotes.xml"/><Relationship Id="rId15" Type="http://schemas.openxmlformats.org/officeDocument/2006/relationships/hyperlink" Target="mailto:cornelia.spitzer@nttdata" TargetMode="External"/><Relationship Id="rId10" Type="http://schemas.openxmlformats.org/officeDocument/2006/relationships/hyperlink" Target="https://de.nttdata.com/insights/success-story/daimler-truc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h.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4296</Characters>
  <Application>Microsoft Office Word</Application>
  <DocSecurity>0</DocSecurity>
  <Lines>35</Lines>
  <Paragraphs>9</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3</cp:revision>
  <dcterms:created xsi:type="dcterms:W3CDTF">2021-07-19T14:24:00Z</dcterms:created>
  <dcterms:modified xsi:type="dcterms:W3CDTF">2021-07-19T15:07:00Z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