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1BBA5" w14:textId="10E00DB8" w:rsidR="00B0084D" w:rsidRPr="00FA2866" w:rsidRDefault="00C72A43" w:rsidP="005E1D39">
      <w:pPr>
        <w:ind w:right="3456"/>
        <w:rPr>
          <w:rFonts w:ascii="Arial" w:hAnsi="Arial" w:cs="Arial"/>
        </w:rPr>
      </w:pPr>
      <w:bookmarkStart w:id="0" w:name="_GoBack"/>
      <w:bookmarkEnd w:id="0"/>
    </w:p>
    <w:p w14:paraId="74E1E4F4" w14:textId="68DCF1D8" w:rsidR="00F74C6A" w:rsidRPr="00FA2866" w:rsidRDefault="00AD4E03" w:rsidP="00FA2866">
      <w:pPr>
        <w:autoSpaceDE w:val="0"/>
        <w:autoSpaceDN w:val="0"/>
        <w:snapToGrid w:val="0"/>
        <w:ind w:right="4"/>
        <w:jc w:val="center"/>
        <w:rPr>
          <w:rFonts w:ascii="Arial" w:hAnsi="Arial" w:cs="Arial"/>
          <w:sz w:val="28"/>
          <w:szCs w:val="28"/>
        </w:rPr>
      </w:pPr>
      <w:r w:rsidRPr="00FA2866">
        <w:rPr>
          <w:rFonts w:ascii="Arial" w:eastAsia="Times New Roman" w:hAnsi="Arial" w:cs="Arial"/>
          <w:b/>
          <w:bCs/>
          <w:noProof/>
          <w:color w:val="222222"/>
          <w:sz w:val="28"/>
          <w:szCs w:val="28"/>
        </w:rPr>
        <w:t xml:space="preserve">Software Carbon Intensity: </w:t>
      </w:r>
      <w:r w:rsidR="002C599C" w:rsidRPr="00FA2866">
        <w:rPr>
          <w:rFonts w:ascii="Arial" w:eastAsia="Times New Roman" w:hAnsi="Arial" w:cs="Arial"/>
          <w:b/>
          <w:bCs/>
          <w:noProof/>
          <w:color w:val="222222"/>
          <w:sz w:val="28"/>
          <w:szCs w:val="28"/>
        </w:rPr>
        <w:t>CO</w:t>
      </w:r>
      <w:r w:rsidR="008101EE" w:rsidRPr="008101EE">
        <w:rPr>
          <w:rFonts w:ascii="Arial" w:eastAsia="Meiryo UI" w:hAnsi="Arial" w:cs="Arial"/>
          <w:b/>
          <w:bCs/>
          <w:snapToGrid w:val="0"/>
          <w:color w:val="000000" w:themeColor="text1"/>
          <w:vertAlign w:val="subscript"/>
        </w:rPr>
        <w:t>2</w:t>
      </w:r>
      <w:r w:rsidR="002C599C" w:rsidRPr="00FA2866">
        <w:rPr>
          <w:rFonts w:ascii="Arial" w:eastAsia="Times New Roman" w:hAnsi="Arial" w:cs="Arial"/>
          <w:b/>
          <w:bCs/>
          <w:noProof/>
          <w:color w:val="222222"/>
          <w:sz w:val="28"/>
          <w:szCs w:val="28"/>
        </w:rPr>
        <w:t>-Fußabdruck</w:t>
      </w:r>
      <w:r w:rsidRPr="00FA2866">
        <w:rPr>
          <w:rFonts w:ascii="Arial" w:eastAsia="Times New Roman" w:hAnsi="Arial" w:cs="Arial"/>
          <w:b/>
          <w:bCs/>
          <w:noProof/>
          <w:color w:val="222222"/>
          <w:sz w:val="28"/>
          <w:szCs w:val="28"/>
        </w:rPr>
        <w:t xml:space="preserve"> von Software</w:t>
      </w:r>
      <w:r w:rsidR="002C599C" w:rsidRPr="00FA2866">
        <w:rPr>
          <w:rFonts w:ascii="Arial" w:eastAsia="Times New Roman" w:hAnsi="Arial" w:cs="Arial"/>
          <w:b/>
          <w:bCs/>
          <w:noProof/>
          <w:color w:val="222222"/>
          <w:sz w:val="28"/>
          <w:szCs w:val="28"/>
        </w:rPr>
        <w:t xml:space="preserve"> </w:t>
      </w:r>
      <w:r w:rsidRPr="00FA2866">
        <w:rPr>
          <w:rFonts w:ascii="Arial" w:eastAsia="Times New Roman" w:hAnsi="Arial" w:cs="Arial"/>
          <w:b/>
          <w:bCs/>
          <w:noProof/>
          <w:color w:val="222222"/>
          <w:sz w:val="28"/>
          <w:szCs w:val="28"/>
        </w:rPr>
        <w:t>im Blick</w:t>
      </w:r>
    </w:p>
    <w:p w14:paraId="38FF0846" w14:textId="6615776D" w:rsidR="00845677" w:rsidRPr="00FA2866" w:rsidRDefault="00845677" w:rsidP="00FA2866">
      <w:pPr>
        <w:pStyle w:val="Listenabsatz"/>
        <w:spacing w:after="0" w:line="240" w:lineRule="auto"/>
        <w:ind w:left="0" w:right="3456"/>
        <w:contextualSpacing w:val="0"/>
        <w:jc w:val="center"/>
        <w:rPr>
          <w:rFonts w:ascii="Arial" w:hAnsi="Arial" w:cs="Arial"/>
          <w:b/>
          <w:sz w:val="28"/>
          <w:szCs w:val="28"/>
          <w:lang w:val="de-DE"/>
        </w:rPr>
      </w:pPr>
    </w:p>
    <w:p w14:paraId="60937B38" w14:textId="48AF7468" w:rsidR="007231D6" w:rsidRPr="00FA2866" w:rsidRDefault="00132C8D" w:rsidP="00FA2866">
      <w:pPr>
        <w:pStyle w:val="Listenabsatz"/>
        <w:spacing w:after="0" w:line="240" w:lineRule="auto"/>
        <w:ind w:left="0" w:right="4"/>
        <w:contextualSpacing w:val="0"/>
        <w:jc w:val="center"/>
        <w:rPr>
          <w:rFonts w:ascii="Arial" w:eastAsia="Times New Roman" w:hAnsi="Arial" w:cs="Arial"/>
          <w:bCs/>
          <w:noProof/>
          <w:color w:val="222222"/>
          <w:sz w:val="24"/>
          <w:szCs w:val="24"/>
          <w:lang w:val="de-DE"/>
        </w:rPr>
      </w:pPr>
      <w:r w:rsidRPr="00FA2866">
        <w:rPr>
          <w:rFonts w:ascii="Arial" w:eastAsia="Times New Roman" w:hAnsi="Arial" w:cs="Arial"/>
          <w:bCs/>
          <w:noProof/>
          <w:color w:val="222222"/>
          <w:sz w:val="24"/>
          <w:szCs w:val="24"/>
          <w:lang w:val="de-DE"/>
        </w:rPr>
        <w:t xml:space="preserve">Green Software Foundation und NTT DATA führen </w:t>
      </w:r>
      <w:r w:rsidR="00AD4E03" w:rsidRPr="00FA2866">
        <w:rPr>
          <w:rFonts w:ascii="Arial" w:eastAsia="Times New Roman" w:hAnsi="Arial" w:cs="Arial"/>
          <w:bCs/>
          <w:noProof/>
          <w:color w:val="222222"/>
          <w:sz w:val="24"/>
          <w:szCs w:val="24"/>
          <w:lang w:val="de-DE"/>
        </w:rPr>
        <w:t>Bewertu</w:t>
      </w:r>
      <w:r w:rsidR="00FA2866" w:rsidRPr="00FA2866">
        <w:rPr>
          <w:rFonts w:ascii="Arial" w:eastAsia="Times New Roman" w:hAnsi="Arial" w:cs="Arial"/>
          <w:bCs/>
          <w:noProof/>
          <w:color w:val="222222"/>
          <w:sz w:val="24"/>
          <w:szCs w:val="24"/>
          <w:lang w:val="de-DE"/>
        </w:rPr>
        <w:t>n</w:t>
      </w:r>
      <w:r w:rsidR="00AD4E03" w:rsidRPr="00FA2866">
        <w:rPr>
          <w:rFonts w:ascii="Arial" w:eastAsia="Times New Roman" w:hAnsi="Arial" w:cs="Arial"/>
          <w:bCs/>
          <w:noProof/>
          <w:color w:val="222222"/>
          <w:sz w:val="24"/>
          <w:szCs w:val="24"/>
          <w:lang w:val="de-DE"/>
        </w:rPr>
        <w:t>gs</w:t>
      </w:r>
      <w:r w:rsidR="00A572C4">
        <w:rPr>
          <w:rFonts w:ascii="Arial" w:eastAsia="Times New Roman" w:hAnsi="Arial" w:cs="Arial"/>
          <w:bCs/>
          <w:noProof/>
          <w:color w:val="222222"/>
          <w:sz w:val="24"/>
          <w:szCs w:val="24"/>
          <w:lang w:val="de-DE"/>
        </w:rPr>
        <w:t>methodik</w:t>
      </w:r>
      <w:r w:rsidR="00AD4E03" w:rsidRPr="00FA2866">
        <w:rPr>
          <w:rFonts w:ascii="Arial" w:eastAsia="Times New Roman" w:hAnsi="Arial" w:cs="Arial"/>
          <w:bCs/>
          <w:noProof/>
          <w:color w:val="222222"/>
          <w:sz w:val="24"/>
          <w:szCs w:val="24"/>
          <w:lang w:val="de-DE"/>
        </w:rPr>
        <w:t xml:space="preserve"> für CO</w:t>
      </w:r>
      <w:r w:rsidR="008101EE" w:rsidRPr="008101EE">
        <w:rPr>
          <w:rFonts w:ascii="Arial" w:eastAsia="Meiryo UI" w:hAnsi="Arial" w:cs="Arial"/>
          <w:snapToGrid w:val="0"/>
          <w:color w:val="000000" w:themeColor="text1"/>
          <w:vertAlign w:val="subscript"/>
          <w:lang w:val="de-DE"/>
        </w:rPr>
        <w:t>2</w:t>
      </w:r>
      <w:r w:rsidR="00AD4E03" w:rsidRPr="00FA2866">
        <w:rPr>
          <w:rFonts w:ascii="Arial" w:eastAsia="Times New Roman" w:hAnsi="Arial" w:cs="Arial"/>
          <w:bCs/>
          <w:noProof/>
          <w:color w:val="222222"/>
          <w:sz w:val="24"/>
          <w:szCs w:val="24"/>
          <w:lang w:val="de-DE"/>
        </w:rPr>
        <w:t xml:space="preserve">-Emissionen von Software </w:t>
      </w:r>
      <w:r w:rsidRPr="00FA2866">
        <w:rPr>
          <w:rFonts w:ascii="Arial" w:eastAsia="Times New Roman" w:hAnsi="Arial" w:cs="Arial"/>
          <w:bCs/>
          <w:noProof/>
          <w:color w:val="222222"/>
          <w:sz w:val="24"/>
          <w:szCs w:val="24"/>
          <w:lang w:val="de-DE"/>
        </w:rPr>
        <w:t>ein</w:t>
      </w:r>
    </w:p>
    <w:p w14:paraId="16547653" w14:textId="77777777" w:rsidR="007231D6" w:rsidRPr="00FA2866" w:rsidRDefault="007231D6" w:rsidP="00FA2866">
      <w:pPr>
        <w:pStyle w:val="Listenabsatz"/>
        <w:spacing w:after="0" w:line="240" w:lineRule="auto"/>
        <w:ind w:left="0" w:right="3456"/>
        <w:contextualSpacing w:val="0"/>
        <w:jc w:val="center"/>
        <w:rPr>
          <w:rFonts w:ascii="Arial" w:hAnsi="Arial" w:cs="Arial"/>
          <w:b/>
          <w:sz w:val="24"/>
          <w:szCs w:val="24"/>
          <w:lang w:val="de-DE"/>
        </w:rPr>
      </w:pPr>
    </w:p>
    <w:p w14:paraId="7077F660" w14:textId="03D71150" w:rsidR="000A3FD1" w:rsidRPr="00EF37B1" w:rsidRDefault="00883A37" w:rsidP="00EF37B1">
      <w:pPr>
        <w:rPr>
          <w:rFonts w:ascii="Arial" w:eastAsia="Meiryo UI" w:hAnsi="Arial" w:cs="Arial"/>
          <w:snapToGrid w:val="0"/>
          <w:color w:val="000000" w:themeColor="text1"/>
          <w:sz w:val="20"/>
          <w:szCs w:val="20"/>
        </w:rPr>
      </w:pPr>
      <w:r w:rsidRPr="00EF37B1">
        <w:rPr>
          <w:rFonts w:ascii="Arial" w:hAnsi="Arial" w:cs="Arial"/>
          <w:b/>
          <w:sz w:val="20"/>
          <w:szCs w:val="20"/>
        </w:rPr>
        <w:t>München | Tokio –</w:t>
      </w:r>
      <w:r w:rsidR="00613478">
        <w:rPr>
          <w:rFonts w:ascii="Arial" w:hAnsi="Arial" w:cs="Arial"/>
          <w:b/>
          <w:sz w:val="20"/>
          <w:szCs w:val="20"/>
        </w:rPr>
        <w:t xml:space="preserve"> 09</w:t>
      </w:r>
      <w:r w:rsidRPr="00EF37B1">
        <w:rPr>
          <w:rFonts w:ascii="Arial" w:hAnsi="Arial" w:cs="Arial"/>
          <w:b/>
          <w:sz w:val="20"/>
          <w:szCs w:val="20"/>
        </w:rPr>
        <w:t xml:space="preserve">. </w:t>
      </w:r>
      <w:r w:rsidR="00613478">
        <w:rPr>
          <w:rFonts w:ascii="Arial" w:hAnsi="Arial" w:cs="Arial"/>
          <w:b/>
          <w:sz w:val="20"/>
          <w:szCs w:val="20"/>
        </w:rPr>
        <w:t>Dezember</w:t>
      </w:r>
      <w:r w:rsidRPr="00EF37B1">
        <w:rPr>
          <w:rFonts w:ascii="Arial" w:hAnsi="Arial" w:cs="Arial"/>
          <w:b/>
          <w:sz w:val="20"/>
          <w:szCs w:val="20"/>
        </w:rPr>
        <w:t xml:space="preserve"> 2021</w:t>
      </w:r>
      <w:r w:rsidR="009E100E" w:rsidRPr="00EF37B1">
        <w:rPr>
          <w:rFonts w:ascii="Arial" w:hAnsi="Arial" w:cs="Arial"/>
          <w:b/>
          <w:sz w:val="20"/>
          <w:szCs w:val="20"/>
        </w:rPr>
        <w:t xml:space="preserve"> </w:t>
      </w:r>
      <w:r w:rsidR="001D26BF" w:rsidRPr="00EF37B1">
        <w:rPr>
          <w:rFonts w:ascii="Arial" w:hAnsi="Arial" w:cs="Arial"/>
          <w:b/>
          <w:sz w:val="20"/>
          <w:szCs w:val="20"/>
        </w:rPr>
        <w:t>–</w:t>
      </w:r>
      <w:r w:rsidR="009E100E" w:rsidRPr="00EF37B1">
        <w:rPr>
          <w:rFonts w:ascii="Arial" w:hAnsi="Arial" w:cs="Arial"/>
          <w:b/>
          <w:sz w:val="20"/>
          <w:szCs w:val="20"/>
        </w:rPr>
        <w:t xml:space="preserve"> </w:t>
      </w:r>
      <w:hyperlink r:id="rId7" w:history="1">
        <w:r w:rsidR="000804CE" w:rsidRPr="00EF37B1">
          <w:rPr>
            <w:rStyle w:val="Hyperlink"/>
            <w:rFonts w:ascii="Arial" w:hAnsi="Arial" w:cs="Arial"/>
            <w:sz w:val="20"/>
            <w:szCs w:val="20"/>
            <w:shd w:val="clear" w:color="auto" w:fill="FFFFFF"/>
          </w:rPr>
          <w:t>NTT DATA</w:t>
        </w:r>
      </w:hyperlink>
      <w:r w:rsidR="000804CE" w:rsidRPr="00EF37B1">
        <w:rPr>
          <w:rFonts w:ascii="Arial" w:hAnsi="Arial" w:cs="Arial"/>
          <w:color w:val="393939"/>
          <w:sz w:val="20"/>
          <w:szCs w:val="20"/>
          <w:shd w:val="clear" w:color="auto" w:fill="FFFFFF"/>
        </w:rPr>
        <w:t>, e</w:t>
      </w:r>
      <w:r w:rsidR="000804CE" w:rsidRPr="00EF37B1">
        <w:rPr>
          <w:rFonts w:ascii="Arial" w:eastAsia="Meiryo UI" w:hAnsi="Arial" w:cs="Arial"/>
          <w:snapToGrid w:val="0"/>
          <w:color w:val="000000" w:themeColor="text1"/>
          <w:sz w:val="20"/>
          <w:szCs w:val="20"/>
        </w:rPr>
        <w:t>in globaler Marktführer für digitale Geschäfts- und IT-Dienstleistungen</w:t>
      </w:r>
      <w:r w:rsidR="000A3FD1" w:rsidRPr="00EF37B1">
        <w:rPr>
          <w:rFonts w:ascii="Arial" w:eastAsia="Meiryo UI" w:hAnsi="Arial" w:cs="Arial"/>
          <w:snapToGrid w:val="0"/>
          <w:color w:val="000000" w:themeColor="text1"/>
          <w:sz w:val="20"/>
          <w:szCs w:val="20"/>
        </w:rPr>
        <w:t xml:space="preserve"> und </w:t>
      </w:r>
      <w:hyperlink r:id="rId8" w:history="1">
        <w:r w:rsidR="000804CE" w:rsidRPr="00EF37B1">
          <w:rPr>
            <w:rStyle w:val="Hyperlink"/>
            <w:rFonts w:ascii="Arial" w:eastAsia="Meiryo UI" w:hAnsi="Arial" w:cs="Arial"/>
            <w:snapToGrid w:val="0"/>
            <w:sz w:val="20"/>
            <w:szCs w:val="20"/>
          </w:rPr>
          <w:t xml:space="preserve">Lenkungsmitglied der Green Software Foundation </w:t>
        </w:r>
      </w:hyperlink>
      <w:r w:rsidR="000804CE" w:rsidRPr="00EF37B1">
        <w:rPr>
          <w:rFonts w:ascii="Arial" w:eastAsia="Meiryo UI" w:hAnsi="Arial" w:cs="Arial"/>
          <w:snapToGrid w:val="0"/>
          <w:color w:val="000000" w:themeColor="text1"/>
          <w:sz w:val="20"/>
          <w:szCs w:val="20"/>
        </w:rPr>
        <w:t>(GSF)</w:t>
      </w:r>
      <w:r w:rsidR="000A3FD1" w:rsidRPr="00EF37B1">
        <w:rPr>
          <w:rFonts w:ascii="Arial" w:eastAsia="Meiryo UI" w:hAnsi="Arial" w:cs="Arial"/>
          <w:snapToGrid w:val="0"/>
          <w:color w:val="000000" w:themeColor="text1"/>
          <w:sz w:val="20"/>
          <w:szCs w:val="20"/>
        </w:rPr>
        <w:t xml:space="preserve">, </w:t>
      </w:r>
      <w:r w:rsidR="000804CE" w:rsidRPr="00EF37B1">
        <w:rPr>
          <w:rFonts w:ascii="Arial" w:eastAsia="Meiryo UI" w:hAnsi="Arial" w:cs="Arial"/>
          <w:snapToGrid w:val="0"/>
          <w:color w:val="000000" w:themeColor="text1"/>
          <w:sz w:val="20"/>
          <w:szCs w:val="20"/>
        </w:rPr>
        <w:t>hat gemeinsam mit anderen Unternehmen der GSF d</w:t>
      </w:r>
      <w:r w:rsidR="000A484B">
        <w:rPr>
          <w:rFonts w:ascii="Arial" w:eastAsia="Meiryo UI" w:hAnsi="Arial" w:cs="Arial"/>
          <w:snapToGrid w:val="0"/>
          <w:color w:val="000000" w:themeColor="text1"/>
          <w:sz w:val="20"/>
          <w:szCs w:val="20"/>
        </w:rPr>
        <w:t>ie</w:t>
      </w:r>
      <w:r w:rsidR="000804CE" w:rsidRPr="00EF37B1">
        <w:rPr>
          <w:rFonts w:ascii="Arial" w:eastAsia="Meiryo UI" w:hAnsi="Arial" w:cs="Arial"/>
          <w:snapToGrid w:val="0"/>
          <w:color w:val="000000" w:themeColor="text1"/>
          <w:sz w:val="20"/>
          <w:szCs w:val="20"/>
        </w:rPr>
        <w:t xml:space="preserve"> "Software Carbon </w:t>
      </w:r>
      <w:proofErr w:type="spellStart"/>
      <w:r w:rsidR="000804CE" w:rsidRPr="00EF37B1">
        <w:rPr>
          <w:rFonts w:ascii="Arial" w:eastAsia="Meiryo UI" w:hAnsi="Arial" w:cs="Arial"/>
          <w:snapToGrid w:val="0"/>
          <w:color w:val="000000" w:themeColor="text1"/>
          <w:sz w:val="20"/>
          <w:szCs w:val="20"/>
        </w:rPr>
        <w:t>Intensity</w:t>
      </w:r>
      <w:proofErr w:type="spellEnd"/>
      <w:r w:rsidR="000804CE" w:rsidRPr="00EF37B1">
        <w:rPr>
          <w:rFonts w:ascii="Arial" w:eastAsia="Meiryo UI" w:hAnsi="Arial" w:cs="Arial"/>
          <w:snapToGrid w:val="0"/>
          <w:color w:val="000000" w:themeColor="text1"/>
          <w:sz w:val="20"/>
          <w:szCs w:val="20"/>
        </w:rPr>
        <w:t>" (SCI), eine</w:t>
      </w:r>
      <w:r w:rsidR="00A572C4">
        <w:rPr>
          <w:rFonts w:ascii="Arial" w:eastAsia="Meiryo UI" w:hAnsi="Arial" w:cs="Arial"/>
          <w:snapToGrid w:val="0"/>
          <w:color w:val="000000" w:themeColor="text1"/>
          <w:sz w:val="20"/>
          <w:szCs w:val="20"/>
        </w:rPr>
        <w:t xml:space="preserve"> Methodik </w:t>
      </w:r>
      <w:r w:rsidR="000804CE" w:rsidRPr="00EF37B1">
        <w:rPr>
          <w:rFonts w:ascii="Arial" w:eastAsia="Meiryo UI" w:hAnsi="Arial" w:cs="Arial"/>
          <w:snapToGrid w:val="0"/>
          <w:color w:val="000000" w:themeColor="text1"/>
          <w:sz w:val="20"/>
          <w:szCs w:val="20"/>
        </w:rPr>
        <w:t>zur Bewertung des CO</w:t>
      </w:r>
      <w:r w:rsidR="008101EE" w:rsidRPr="00EF37B1">
        <w:rPr>
          <w:rFonts w:ascii="Arial" w:eastAsia="Meiryo UI" w:hAnsi="Arial" w:cs="Arial"/>
          <w:snapToGrid w:val="0"/>
          <w:color w:val="000000" w:themeColor="text1"/>
          <w:sz w:val="20"/>
          <w:szCs w:val="20"/>
          <w:vertAlign w:val="subscript"/>
        </w:rPr>
        <w:t>2</w:t>
      </w:r>
      <w:r w:rsidR="000804CE" w:rsidRPr="00EF37B1">
        <w:rPr>
          <w:rFonts w:ascii="Arial" w:eastAsia="Meiryo UI" w:hAnsi="Arial" w:cs="Arial"/>
          <w:snapToGrid w:val="0"/>
          <w:color w:val="000000" w:themeColor="text1"/>
          <w:sz w:val="20"/>
          <w:szCs w:val="20"/>
        </w:rPr>
        <w:t>-Fußabdrucks von Software, entwickelt. Das gab das Unternehmen heute bekannt.</w:t>
      </w:r>
    </w:p>
    <w:p w14:paraId="652D2F0A" w14:textId="77777777" w:rsidR="00EE2F1F" w:rsidRPr="00EF37B1" w:rsidRDefault="00EE2F1F" w:rsidP="00EF37B1">
      <w:pPr>
        <w:rPr>
          <w:rFonts w:ascii="Arial" w:eastAsia="Meiryo UI" w:hAnsi="Arial" w:cs="Arial"/>
          <w:snapToGrid w:val="0"/>
          <w:color w:val="000000" w:themeColor="text1"/>
          <w:sz w:val="20"/>
          <w:szCs w:val="20"/>
        </w:rPr>
      </w:pPr>
    </w:p>
    <w:p w14:paraId="6AC86D5D" w14:textId="5D05EF57" w:rsidR="000A3FD1" w:rsidRPr="00EF37B1" w:rsidRDefault="00EE2F1F" w:rsidP="00EF37B1">
      <w:pPr>
        <w:rPr>
          <w:rFonts w:ascii="Arial" w:eastAsia="Meiryo UI" w:hAnsi="Arial" w:cs="Arial"/>
          <w:snapToGrid w:val="0"/>
          <w:color w:val="000000" w:themeColor="text1"/>
          <w:sz w:val="20"/>
          <w:szCs w:val="20"/>
        </w:rPr>
      </w:pPr>
      <w:r w:rsidRPr="00EF37B1">
        <w:rPr>
          <w:rFonts w:ascii="Arial" w:eastAsia="Meiryo UI" w:hAnsi="Arial" w:cs="Arial"/>
          <w:snapToGrid w:val="0"/>
          <w:color w:val="000000" w:themeColor="text1"/>
          <w:sz w:val="20"/>
          <w:szCs w:val="20"/>
        </w:rPr>
        <w:t xml:space="preserve">Das Ziel der GSF ist es, ein vertrauenswürdiges </w:t>
      </w:r>
      <w:r w:rsidR="004D5F09" w:rsidRPr="00EF37B1">
        <w:rPr>
          <w:rFonts w:ascii="Arial" w:eastAsia="Meiryo UI" w:hAnsi="Arial" w:cs="Arial"/>
          <w:snapToGrid w:val="0"/>
          <w:color w:val="000000" w:themeColor="text1"/>
          <w:sz w:val="20"/>
          <w:szCs w:val="20"/>
        </w:rPr>
        <w:t>Ökosystem</w:t>
      </w:r>
      <w:r w:rsidR="00C031D1" w:rsidRPr="00EF37B1">
        <w:rPr>
          <w:rFonts w:ascii="Arial" w:eastAsia="Meiryo UI" w:hAnsi="Arial" w:cs="Arial"/>
          <w:snapToGrid w:val="0"/>
          <w:color w:val="000000" w:themeColor="text1"/>
          <w:sz w:val="20"/>
          <w:szCs w:val="20"/>
        </w:rPr>
        <w:t xml:space="preserve"> </w:t>
      </w:r>
      <w:r w:rsidRPr="00EF37B1">
        <w:rPr>
          <w:rFonts w:ascii="Arial" w:eastAsia="Meiryo UI" w:hAnsi="Arial" w:cs="Arial"/>
          <w:snapToGrid w:val="0"/>
          <w:color w:val="000000" w:themeColor="text1"/>
          <w:sz w:val="20"/>
          <w:szCs w:val="20"/>
        </w:rPr>
        <w:t xml:space="preserve">von Menschen, Standards, Tools und Best Practices für die Bereitstellung von grüner Software zu schaffen. GSF, geleitet von Accenture, </w:t>
      </w:r>
      <w:proofErr w:type="spellStart"/>
      <w:r w:rsidRPr="00EF37B1">
        <w:rPr>
          <w:rFonts w:ascii="Arial" w:eastAsia="Meiryo UI" w:hAnsi="Arial" w:cs="Arial"/>
          <w:snapToGrid w:val="0"/>
          <w:color w:val="000000" w:themeColor="text1"/>
          <w:sz w:val="20"/>
          <w:szCs w:val="20"/>
        </w:rPr>
        <w:t>GitHub</w:t>
      </w:r>
      <w:proofErr w:type="spellEnd"/>
      <w:r w:rsidRPr="00EF37B1">
        <w:rPr>
          <w:rFonts w:ascii="Arial" w:eastAsia="Meiryo UI" w:hAnsi="Arial" w:cs="Arial"/>
          <w:snapToGrid w:val="0"/>
          <w:color w:val="000000" w:themeColor="text1"/>
          <w:sz w:val="20"/>
          <w:szCs w:val="20"/>
        </w:rPr>
        <w:t xml:space="preserve">, </w:t>
      </w:r>
      <w:proofErr w:type="spellStart"/>
      <w:r w:rsidRPr="00EF37B1">
        <w:rPr>
          <w:rFonts w:ascii="Arial" w:eastAsia="Meiryo UI" w:hAnsi="Arial" w:cs="Arial"/>
          <w:snapToGrid w:val="0"/>
          <w:color w:val="000000" w:themeColor="text1"/>
          <w:sz w:val="20"/>
          <w:szCs w:val="20"/>
        </w:rPr>
        <w:t>Globant</w:t>
      </w:r>
      <w:proofErr w:type="spellEnd"/>
      <w:r w:rsidRPr="00EF37B1">
        <w:rPr>
          <w:rFonts w:ascii="Arial" w:eastAsia="Meiryo UI" w:hAnsi="Arial" w:cs="Arial"/>
          <w:snapToGrid w:val="0"/>
          <w:color w:val="000000" w:themeColor="text1"/>
          <w:sz w:val="20"/>
          <w:szCs w:val="20"/>
        </w:rPr>
        <w:t xml:space="preserve">, Microsoft, </w:t>
      </w:r>
      <w:proofErr w:type="spellStart"/>
      <w:r w:rsidRPr="00EF37B1">
        <w:rPr>
          <w:rFonts w:ascii="Arial" w:eastAsia="Meiryo UI" w:hAnsi="Arial" w:cs="Arial"/>
          <w:snapToGrid w:val="0"/>
          <w:color w:val="000000" w:themeColor="text1"/>
          <w:sz w:val="20"/>
          <w:szCs w:val="20"/>
        </w:rPr>
        <w:t>Thoughtworks</w:t>
      </w:r>
      <w:proofErr w:type="spellEnd"/>
      <w:r w:rsidRPr="00EF37B1">
        <w:rPr>
          <w:rFonts w:ascii="Arial" w:eastAsia="Meiryo UI" w:hAnsi="Arial" w:cs="Arial"/>
          <w:snapToGrid w:val="0"/>
          <w:color w:val="000000" w:themeColor="text1"/>
          <w:sz w:val="20"/>
          <w:szCs w:val="20"/>
        </w:rPr>
        <w:t xml:space="preserve"> und NTT DATA, hat </w:t>
      </w:r>
      <w:r w:rsidR="00577784" w:rsidRPr="00EF37B1">
        <w:rPr>
          <w:rFonts w:ascii="Arial" w:eastAsia="Meiryo UI" w:hAnsi="Arial" w:cs="Arial"/>
          <w:snapToGrid w:val="0"/>
          <w:color w:val="000000" w:themeColor="text1"/>
          <w:sz w:val="20"/>
          <w:szCs w:val="20"/>
        </w:rPr>
        <w:t>mit der</w:t>
      </w:r>
      <w:r w:rsidRPr="00EF37B1">
        <w:rPr>
          <w:rFonts w:ascii="Arial" w:eastAsia="Meiryo UI" w:hAnsi="Arial" w:cs="Arial"/>
          <w:snapToGrid w:val="0"/>
          <w:color w:val="000000" w:themeColor="text1"/>
          <w:sz w:val="20"/>
          <w:szCs w:val="20"/>
        </w:rPr>
        <w:t xml:space="preserve"> Alpha-Version der Software Carbon </w:t>
      </w:r>
      <w:proofErr w:type="spellStart"/>
      <w:r w:rsidRPr="00EF37B1">
        <w:rPr>
          <w:rFonts w:ascii="Arial" w:eastAsia="Meiryo UI" w:hAnsi="Arial" w:cs="Arial"/>
          <w:snapToGrid w:val="0"/>
          <w:color w:val="000000" w:themeColor="text1"/>
          <w:sz w:val="20"/>
          <w:szCs w:val="20"/>
        </w:rPr>
        <w:t>Intensity</w:t>
      </w:r>
      <w:proofErr w:type="spellEnd"/>
      <w:r w:rsidRPr="00EF37B1">
        <w:rPr>
          <w:rFonts w:ascii="Arial" w:eastAsia="Meiryo UI" w:hAnsi="Arial" w:cs="Arial"/>
          <w:snapToGrid w:val="0"/>
          <w:color w:val="000000" w:themeColor="text1"/>
          <w:sz w:val="20"/>
          <w:szCs w:val="20"/>
        </w:rPr>
        <w:t xml:space="preserve"> eine</w:t>
      </w:r>
      <w:r w:rsidR="00A572C4">
        <w:rPr>
          <w:rFonts w:ascii="Arial" w:eastAsia="Meiryo UI" w:hAnsi="Arial" w:cs="Arial"/>
          <w:snapToGrid w:val="0"/>
          <w:color w:val="000000" w:themeColor="text1"/>
          <w:sz w:val="20"/>
          <w:szCs w:val="20"/>
        </w:rPr>
        <w:t xml:space="preserve"> Methodik </w:t>
      </w:r>
      <w:r w:rsidRPr="00EF37B1">
        <w:rPr>
          <w:rFonts w:ascii="Arial" w:eastAsia="Meiryo UI" w:hAnsi="Arial" w:cs="Arial"/>
          <w:snapToGrid w:val="0"/>
          <w:color w:val="000000" w:themeColor="text1"/>
          <w:sz w:val="20"/>
          <w:szCs w:val="20"/>
        </w:rPr>
        <w:t xml:space="preserve">zur </w:t>
      </w:r>
      <w:r w:rsidR="00187DD1">
        <w:rPr>
          <w:rFonts w:ascii="Arial" w:eastAsia="Meiryo UI" w:hAnsi="Arial" w:cs="Arial"/>
          <w:snapToGrid w:val="0"/>
          <w:color w:val="000000" w:themeColor="text1"/>
          <w:sz w:val="20"/>
          <w:szCs w:val="20"/>
        </w:rPr>
        <w:t>Bewertung</w:t>
      </w:r>
      <w:r w:rsidR="00187DD1" w:rsidRPr="00EF37B1">
        <w:rPr>
          <w:rFonts w:ascii="Arial" w:eastAsia="Meiryo UI" w:hAnsi="Arial" w:cs="Arial"/>
          <w:snapToGrid w:val="0"/>
          <w:color w:val="000000" w:themeColor="text1"/>
          <w:sz w:val="20"/>
          <w:szCs w:val="20"/>
        </w:rPr>
        <w:t xml:space="preserve"> </w:t>
      </w:r>
      <w:r w:rsidRPr="00EF37B1">
        <w:rPr>
          <w:rFonts w:ascii="Arial" w:eastAsia="Meiryo UI" w:hAnsi="Arial" w:cs="Arial"/>
          <w:snapToGrid w:val="0"/>
          <w:color w:val="000000" w:themeColor="text1"/>
          <w:sz w:val="20"/>
          <w:szCs w:val="20"/>
        </w:rPr>
        <w:t>des CO</w:t>
      </w:r>
      <w:r w:rsidRPr="00EF37B1">
        <w:rPr>
          <w:rFonts w:ascii="Arial" w:eastAsia="Meiryo UI" w:hAnsi="Arial" w:cs="Arial"/>
          <w:snapToGrid w:val="0"/>
          <w:color w:val="000000" w:themeColor="text1"/>
          <w:sz w:val="20"/>
          <w:szCs w:val="20"/>
          <w:vertAlign w:val="subscript"/>
        </w:rPr>
        <w:t>2</w:t>
      </w:r>
      <w:r w:rsidRPr="00EF37B1">
        <w:rPr>
          <w:rFonts w:ascii="Arial" w:eastAsia="Meiryo UI" w:hAnsi="Arial" w:cs="Arial"/>
          <w:snapToGrid w:val="0"/>
          <w:color w:val="000000" w:themeColor="text1"/>
          <w:sz w:val="20"/>
          <w:szCs w:val="20"/>
        </w:rPr>
        <w:t>-Fußabdrucks von Software</w:t>
      </w:r>
      <w:r w:rsidR="00577784" w:rsidRPr="00EF37B1">
        <w:rPr>
          <w:rFonts w:ascii="Arial" w:eastAsia="Meiryo UI" w:hAnsi="Arial" w:cs="Arial"/>
          <w:snapToGrid w:val="0"/>
          <w:color w:val="000000" w:themeColor="text1"/>
          <w:sz w:val="20"/>
          <w:szCs w:val="20"/>
        </w:rPr>
        <w:t xml:space="preserve"> entwickelt.</w:t>
      </w:r>
    </w:p>
    <w:p w14:paraId="60267C06" w14:textId="77777777" w:rsidR="00EE2F1F" w:rsidRPr="00EF37B1" w:rsidRDefault="00EE2F1F" w:rsidP="00EF37B1">
      <w:pPr>
        <w:rPr>
          <w:rFonts w:ascii="Arial" w:eastAsia="Meiryo UI" w:hAnsi="Arial" w:cs="Arial"/>
          <w:snapToGrid w:val="0"/>
          <w:color w:val="000000" w:themeColor="text1"/>
          <w:sz w:val="20"/>
          <w:szCs w:val="20"/>
        </w:rPr>
      </w:pPr>
    </w:p>
    <w:p w14:paraId="23B9E05D" w14:textId="202128E8" w:rsidR="00F75D8D" w:rsidRPr="00EF37B1" w:rsidRDefault="00F75D8D" w:rsidP="00EF37B1">
      <w:pPr>
        <w:rPr>
          <w:rFonts w:ascii="Arial" w:eastAsia="Meiryo UI" w:hAnsi="Arial" w:cs="Arial"/>
          <w:b/>
          <w:snapToGrid w:val="0"/>
          <w:color w:val="000000" w:themeColor="text1"/>
          <w:sz w:val="20"/>
          <w:szCs w:val="20"/>
        </w:rPr>
      </w:pPr>
      <w:r w:rsidRPr="00EF37B1">
        <w:rPr>
          <w:rFonts w:ascii="Arial" w:eastAsia="Meiryo UI" w:hAnsi="Arial" w:cs="Arial"/>
          <w:b/>
          <w:snapToGrid w:val="0"/>
          <w:color w:val="000000" w:themeColor="text1"/>
          <w:sz w:val="20"/>
          <w:szCs w:val="20"/>
        </w:rPr>
        <w:t>Verbesserungen erfordern Messungen</w:t>
      </w:r>
      <w:r w:rsidR="00EE2F1F" w:rsidRPr="00EF37B1">
        <w:rPr>
          <w:rFonts w:ascii="Arial" w:eastAsia="Meiryo UI" w:hAnsi="Arial" w:cs="Arial"/>
          <w:b/>
          <w:snapToGrid w:val="0"/>
          <w:color w:val="000000" w:themeColor="text1"/>
          <w:sz w:val="20"/>
          <w:szCs w:val="20"/>
        </w:rPr>
        <w:t xml:space="preserve"> und Bewertungen</w:t>
      </w:r>
    </w:p>
    <w:p w14:paraId="5566B252" w14:textId="72A12559" w:rsidR="00EE2F1F" w:rsidRPr="00EF37B1" w:rsidRDefault="00F75D8D" w:rsidP="00EF37B1">
      <w:pPr>
        <w:rPr>
          <w:rFonts w:ascii="Arial" w:eastAsia="Meiryo UI" w:hAnsi="Arial" w:cs="Arial"/>
          <w:snapToGrid w:val="0"/>
          <w:color w:val="000000" w:themeColor="text1"/>
          <w:sz w:val="20"/>
          <w:szCs w:val="20"/>
        </w:rPr>
      </w:pPr>
      <w:r w:rsidRPr="00EF37B1">
        <w:rPr>
          <w:rFonts w:ascii="Arial" w:eastAsia="Meiryo UI" w:hAnsi="Arial" w:cs="Arial"/>
          <w:snapToGrid w:val="0"/>
          <w:color w:val="000000" w:themeColor="text1"/>
          <w:sz w:val="20"/>
          <w:szCs w:val="20"/>
        </w:rPr>
        <w:t xml:space="preserve">SCI definiert eine Methodik zur Berechnung der </w:t>
      </w:r>
      <w:r w:rsidR="00FA2866" w:rsidRPr="00EF37B1">
        <w:rPr>
          <w:rFonts w:ascii="Arial" w:eastAsia="Meiryo UI" w:hAnsi="Arial" w:cs="Arial"/>
          <w:snapToGrid w:val="0"/>
          <w:color w:val="000000" w:themeColor="text1"/>
          <w:sz w:val="20"/>
          <w:szCs w:val="20"/>
        </w:rPr>
        <w:t>CO</w:t>
      </w:r>
      <w:r w:rsidR="00FA2866" w:rsidRPr="00EF37B1">
        <w:rPr>
          <w:rFonts w:ascii="Arial" w:eastAsia="Meiryo UI" w:hAnsi="Arial" w:cs="Arial"/>
          <w:snapToGrid w:val="0"/>
          <w:color w:val="000000" w:themeColor="text1"/>
          <w:sz w:val="20"/>
          <w:szCs w:val="20"/>
          <w:vertAlign w:val="subscript"/>
        </w:rPr>
        <w:t>2</w:t>
      </w:r>
      <w:r w:rsidR="00FA2866" w:rsidRPr="00EF37B1">
        <w:rPr>
          <w:rFonts w:ascii="Arial" w:eastAsia="Meiryo UI" w:hAnsi="Arial" w:cs="Arial"/>
          <w:snapToGrid w:val="0"/>
          <w:color w:val="000000" w:themeColor="text1"/>
          <w:sz w:val="20"/>
          <w:szCs w:val="20"/>
        </w:rPr>
        <w:t>-E</w:t>
      </w:r>
      <w:r w:rsidRPr="00EF37B1">
        <w:rPr>
          <w:rFonts w:ascii="Arial" w:eastAsia="Meiryo UI" w:hAnsi="Arial" w:cs="Arial"/>
          <w:snapToGrid w:val="0"/>
          <w:color w:val="000000" w:themeColor="text1"/>
          <w:sz w:val="20"/>
          <w:szCs w:val="20"/>
        </w:rPr>
        <w:t>missionen eines Softwaresystems und ermöglicht eine quantitative Bewertung</w:t>
      </w:r>
      <w:r w:rsidR="00EE2F1F" w:rsidRPr="00EF37B1">
        <w:rPr>
          <w:rFonts w:ascii="Arial" w:eastAsia="Meiryo UI" w:hAnsi="Arial" w:cs="Arial"/>
          <w:snapToGrid w:val="0"/>
          <w:color w:val="000000" w:themeColor="text1"/>
          <w:sz w:val="20"/>
          <w:szCs w:val="20"/>
        </w:rPr>
        <w:t xml:space="preserve"> anhand von Punktewerten. Dies geschieht auf Basis des Strom- und Hardwareverbrauchs. Anhand dieses Kriteriums lassen sich die Umweltauswirkungen des Betriebs von Software mit denselben Funktionen vergleichen und die Auswirkungen von Änderungen an Software auf die CO</w:t>
      </w:r>
      <w:r w:rsidR="00EE2F1F" w:rsidRPr="00EF37B1">
        <w:rPr>
          <w:rFonts w:ascii="Arial" w:eastAsia="Meiryo UI" w:hAnsi="Arial" w:cs="Arial"/>
          <w:snapToGrid w:val="0"/>
          <w:color w:val="000000" w:themeColor="text1"/>
          <w:sz w:val="20"/>
          <w:szCs w:val="20"/>
          <w:vertAlign w:val="subscript"/>
        </w:rPr>
        <w:t>2</w:t>
      </w:r>
      <w:r w:rsidR="00EE2F1F" w:rsidRPr="00EF37B1">
        <w:rPr>
          <w:rFonts w:ascii="Arial" w:eastAsia="Meiryo UI" w:hAnsi="Arial" w:cs="Arial"/>
          <w:snapToGrid w:val="0"/>
          <w:color w:val="000000" w:themeColor="text1"/>
          <w:sz w:val="20"/>
          <w:szCs w:val="20"/>
        </w:rPr>
        <w:t>-Emissionen verstehen.</w:t>
      </w:r>
    </w:p>
    <w:p w14:paraId="5D561635" w14:textId="77777777" w:rsidR="00EE2F1F" w:rsidRPr="00EF37B1" w:rsidRDefault="00EE2F1F" w:rsidP="00EF37B1">
      <w:pPr>
        <w:rPr>
          <w:rFonts w:ascii="Arial" w:eastAsia="Meiryo UI" w:hAnsi="Arial" w:cs="Arial"/>
          <w:snapToGrid w:val="0"/>
          <w:color w:val="000000" w:themeColor="text1"/>
          <w:sz w:val="20"/>
          <w:szCs w:val="20"/>
        </w:rPr>
      </w:pPr>
    </w:p>
    <w:p w14:paraId="3E51E1D3" w14:textId="568AFABE" w:rsidR="000804CE" w:rsidRPr="00EF37B1" w:rsidRDefault="00EE2F1F" w:rsidP="00EF37B1">
      <w:pPr>
        <w:rPr>
          <w:rFonts w:ascii="Arial" w:eastAsia="Meiryo UI" w:hAnsi="Arial" w:cs="Arial"/>
          <w:snapToGrid w:val="0"/>
          <w:color w:val="000000" w:themeColor="text1"/>
          <w:sz w:val="20"/>
          <w:szCs w:val="20"/>
        </w:rPr>
      </w:pPr>
      <w:r w:rsidRPr="00EF37B1">
        <w:rPr>
          <w:rFonts w:ascii="Arial" w:eastAsia="Meiryo UI" w:hAnsi="Arial" w:cs="Arial"/>
          <w:snapToGrid w:val="0"/>
          <w:color w:val="000000" w:themeColor="text1"/>
          <w:sz w:val="20"/>
          <w:szCs w:val="20"/>
        </w:rPr>
        <w:t>Diese Bewe</w:t>
      </w:r>
      <w:r w:rsidR="00D76EBF" w:rsidRPr="00EF37B1">
        <w:rPr>
          <w:rFonts w:ascii="Arial" w:eastAsia="Meiryo UI" w:hAnsi="Arial" w:cs="Arial"/>
          <w:snapToGrid w:val="0"/>
          <w:color w:val="000000" w:themeColor="text1"/>
          <w:sz w:val="20"/>
          <w:szCs w:val="20"/>
        </w:rPr>
        <w:t>r</w:t>
      </w:r>
      <w:r w:rsidRPr="00EF37B1">
        <w:rPr>
          <w:rFonts w:ascii="Arial" w:eastAsia="Meiryo UI" w:hAnsi="Arial" w:cs="Arial"/>
          <w:snapToGrid w:val="0"/>
          <w:color w:val="000000" w:themeColor="text1"/>
          <w:sz w:val="20"/>
          <w:szCs w:val="20"/>
        </w:rPr>
        <w:t>tung</w:t>
      </w:r>
      <w:r w:rsidR="00F75D8D" w:rsidRPr="00EF37B1">
        <w:rPr>
          <w:rFonts w:ascii="Arial" w:eastAsia="Meiryo UI" w:hAnsi="Arial" w:cs="Arial"/>
          <w:snapToGrid w:val="0"/>
          <w:color w:val="000000" w:themeColor="text1"/>
          <w:sz w:val="20"/>
          <w:szCs w:val="20"/>
        </w:rPr>
        <w:t xml:space="preserve"> soll Anwendern und Entwicklern helfen, fundierte Entscheidungen darüber zu treffen, welche Werkzeuge, Ansätze, Architekturen und Dienste sie in Zukunft verwenden</w:t>
      </w:r>
      <w:r w:rsidR="00D76EBF" w:rsidRPr="00EF37B1">
        <w:rPr>
          <w:rFonts w:ascii="Arial" w:eastAsia="Meiryo UI" w:hAnsi="Arial" w:cs="Arial"/>
          <w:snapToGrid w:val="0"/>
          <w:color w:val="000000" w:themeColor="text1"/>
          <w:sz w:val="20"/>
          <w:szCs w:val="20"/>
        </w:rPr>
        <w:t>. SCI identifiziert Systemverbesserungen unter dem Gesichtspunkt der CO</w:t>
      </w:r>
      <w:r w:rsidR="00D76EBF" w:rsidRPr="00EF37B1">
        <w:rPr>
          <w:rFonts w:ascii="Arial" w:eastAsia="Meiryo UI" w:hAnsi="Arial" w:cs="Arial"/>
          <w:snapToGrid w:val="0"/>
          <w:color w:val="000000" w:themeColor="text1"/>
          <w:sz w:val="20"/>
          <w:szCs w:val="20"/>
          <w:vertAlign w:val="subscript"/>
        </w:rPr>
        <w:t>2</w:t>
      </w:r>
      <w:r w:rsidR="00D76EBF" w:rsidRPr="00EF37B1">
        <w:rPr>
          <w:rFonts w:ascii="Arial" w:eastAsia="Meiryo UI" w:hAnsi="Arial" w:cs="Arial"/>
          <w:snapToGrid w:val="0"/>
          <w:color w:val="000000" w:themeColor="text1"/>
          <w:sz w:val="20"/>
          <w:szCs w:val="20"/>
        </w:rPr>
        <w:t xml:space="preserve">-Emissionen, </w:t>
      </w:r>
      <w:r w:rsidR="000804CE" w:rsidRPr="00EF37B1">
        <w:rPr>
          <w:rFonts w:ascii="Arial" w:eastAsia="Meiryo UI" w:hAnsi="Arial" w:cs="Arial"/>
          <w:snapToGrid w:val="0"/>
          <w:color w:val="000000" w:themeColor="text1"/>
          <w:sz w:val="20"/>
          <w:szCs w:val="20"/>
        </w:rPr>
        <w:t xml:space="preserve">schlägt </w:t>
      </w:r>
      <w:r w:rsidR="00D76EBF" w:rsidRPr="00EF37B1">
        <w:rPr>
          <w:rFonts w:ascii="Arial" w:eastAsia="Meiryo UI" w:hAnsi="Arial" w:cs="Arial"/>
          <w:snapToGrid w:val="0"/>
          <w:color w:val="000000" w:themeColor="text1"/>
          <w:sz w:val="20"/>
          <w:szCs w:val="20"/>
        </w:rPr>
        <w:t>geeignete Verbesserungsm</w:t>
      </w:r>
      <w:r w:rsidR="000804CE" w:rsidRPr="00EF37B1">
        <w:rPr>
          <w:rFonts w:ascii="Arial" w:eastAsia="Meiryo UI" w:hAnsi="Arial" w:cs="Arial"/>
          <w:snapToGrid w:val="0"/>
          <w:color w:val="000000" w:themeColor="text1"/>
          <w:sz w:val="20"/>
          <w:szCs w:val="20"/>
        </w:rPr>
        <w:t xml:space="preserve">aßnahmen </w:t>
      </w:r>
      <w:r w:rsidR="00D76EBF" w:rsidRPr="00EF37B1">
        <w:rPr>
          <w:rFonts w:ascii="Arial" w:eastAsia="Meiryo UI" w:hAnsi="Arial" w:cs="Arial"/>
          <w:snapToGrid w:val="0"/>
          <w:color w:val="000000" w:themeColor="text1"/>
          <w:sz w:val="20"/>
          <w:szCs w:val="20"/>
        </w:rPr>
        <w:t xml:space="preserve">vor und ermöglicht </w:t>
      </w:r>
      <w:r w:rsidR="000804CE" w:rsidRPr="00EF37B1">
        <w:rPr>
          <w:rFonts w:ascii="Arial" w:eastAsia="Meiryo UI" w:hAnsi="Arial" w:cs="Arial"/>
          <w:snapToGrid w:val="0"/>
          <w:color w:val="000000" w:themeColor="text1"/>
          <w:sz w:val="20"/>
          <w:szCs w:val="20"/>
        </w:rPr>
        <w:t xml:space="preserve">die Entwicklung und </w:t>
      </w:r>
      <w:r w:rsidR="00D76EBF" w:rsidRPr="00EF37B1">
        <w:rPr>
          <w:rFonts w:ascii="Arial" w:eastAsia="Meiryo UI" w:hAnsi="Arial" w:cs="Arial"/>
          <w:snapToGrid w:val="0"/>
          <w:color w:val="000000" w:themeColor="text1"/>
          <w:sz w:val="20"/>
          <w:szCs w:val="20"/>
        </w:rPr>
        <w:t>den</w:t>
      </w:r>
      <w:r w:rsidR="000804CE" w:rsidRPr="00EF37B1">
        <w:rPr>
          <w:rFonts w:ascii="Arial" w:eastAsia="Meiryo UI" w:hAnsi="Arial" w:cs="Arial"/>
          <w:snapToGrid w:val="0"/>
          <w:color w:val="000000" w:themeColor="text1"/>
          <w:sz w:val="20"/>
          <w:szCs w:val="20"/>
        </w:rPr>
        <w:t xml:space="preserve"> Betrieb von Softwaretechnologien mit geringeren Umweltauswirkungen. NTT DATA wird mit SCI grüne Systeme sowi</w:t>
      </w:r>
      <w:r w:rsidR="009859D1" w:rsidRPr="00EF37B1">
        <w:rPr>
          <w:rFonts w:ascii="Arial" w:eastAsia="Meiryo UI" w:hAnsi="Arial" w:cs="Arial"/>
          <w:snapToGrid w:val="0"/>
          <w:color w:val="000000" w:themeColor="text1"/>
          <w:sz w:val="20"/>
          <w:szCs w:val="20"/>
        </w:rPr>
        <w:t>e</w:t>
      </w:r>
      <w:r w:rsidR="000804CE" w:rsidRPr="00EF37B1">
        <w:rPr>
          <w:rFonts w:ascii="Arial" w:eastAsia="Meiryo UI" w:hAnsi="Arial" w:cs="Arial"/>
          <w:snapToGrid w:val="0"/>
          <w:color w:val="000000" w:themeColor="text1"/>
          <w:sz w:val="20"/>
          <w:szCs w:val="20"/>
        </w:rPr>
        <w:t xml:space="preserve"> Informations- und Kommunikationstechnologie-Dienstleistungen entwickeln und </w:t>
      </w:r>
      <w:r w:rsidRPr="00EF37B1">
        <w:rPr>
          <w:rFonts w:ascii="Arial" w:eastAsia="Meiryo UI" w:hAnsi="Arial" w:cs="Arial"/>
          <w:snapToGrid w:val="0"/>
          <w:color w:val="000000" w:themeColor="text1"/>
          <w:sz w:val="20"/>
          <w:szCs w:val="20"/>
        </w:rPr>
        <w:t xml:space="preserve">damit </w:t>
      </w:r>
      <w:r w:rsidR="000804CE" w:rsidRPr="00EF37B1">
        <w:rPr>
          <w:rFonts w:ascii="Arial" w:eastAsia="Meiryo UI" w:hAnsi="Arial" w:cs="Arial"/>
          <w:snapToGrid w:val="0"/>
          <w:color w:val="000000" w:themeColor="text1"/>
          <w:sz w:val="20"/>
          <w:szCs w:val="20"/>
        </w:rPr>
        <w:t>einen wichtigen Beitrag zur Klimaneutralität der Gesellschaft leisten.</w:t>
      </w:r>
    </w:p>
    <w:p w14:paraId="20BBD82E" w14:textId="0A3E5AD4" w:rsidR="00132C8D" w:rsidRPr="00EF37B1" w:rsidRDefault="00132C8D" w:rsidP="00EF37B1">
      <w:pPr>
        <w:rPr>
          <w:rFonts w:ascii="Arial" w:eastAsia="Meiryo UI" w:hAnsi="Arial" w:cs="Arial"/>
          <w:snapToGrid w:val="0"/>
          <w:color w:val="000000" w:themeColor="text1"/>
          <w:sz w:val="20"/>
          <w:szCs w:val="20"/>
        </w:rPr>
      </w:pPr>
    </w:p>
    <w:p w14:paraId="6F403B9C" w14:textId="2C27EB52" w:rsidR="00F87D4A" w:rsidRPr="00EF37B1" w:rsidRDefault="00F87D4A" w:rsidP="00EF37B1">
      <w:pPr>
        <w:rPr>
          <w:rFonts w:ascii="Arial" w:eastAsia="Meiryo UI" w:hAnsi="Arial" w:cs="Arial"/>
          <w:snapToGrid w:val="0"/>
          <w:color w:val="000000" w:themeColor="text1"/>
          <w:sz w:val="20"/>
          <w:szCs w:val="20"/>
        </w:rPr>
      </w:pPr>
      <w:r w:rsidRPr="00EF37B1">
        <w:rPr>
          <w:rFonts w:ascii="Arial" w:eastAsia="Meiryo UI" w:hAnsi="Arial" w:cs="Arial"/>
          <w:snapToGrid w:val="0"/>
          <w:color w:val="000000" w:themeColor="text1"/>
          <w:sz w:val="20"/>
          <w:szCs w:val="20"/>
        </w:rPr>
        <w:t xml:space="preserve">„Digitalisierung und Nachhaltigkeit sind eng miteinander verbunden“, sagt Stefan Hansen, </w:t>
      </w:r>
      <w:r w:rsidR="00324127" w:rsidRPr="00EF37B1">
        <w:rPr>
          <w:rFonts w:ascii="Arial" w:eastAsia="Meiryo UI" w:hAnsi="Arial" w:cs="Arial"/>
          <w:snapToGrid w:val="0"/>
          <w:color w:val="000000" w:themeColor="text1"/>
          <w:sz w:val="20"/>
          <w:szCs w:val="20"/>
        </w:rPr>
        <w:t>CEO und Vorsitzender der Geschäftsführung NTT DATA DACH</w:t>
      </w:r>
      <w:r w:rsidRPr="00EF37B1">
        <w:rPr>
          <w:rFonts w:ascii="Arial" w:eastAsia="Meiryo UI" w:hAnsi="Arial" w:cs="Arial"/>
          <w:snapToGrid w:val="0"/>
          <w:color w:val="000000" w:themeColor="text1"/>
          <w:sz w:val="20"/>
          <w:szCs w:val="20"/>
        </w:rPr>
        <w:t xml:space="preserve">, „denn digitale Technologien sind </w:t>
      </w:r>
      <w:r w:rsidR="00795A95" w:rsidRPr="00EF37B1">
        <w:rPr>
          <w:rFonts w:ascii="Arial" w:eastAsia="Meiryo UI" w:hAnsi="Arial" w:cs="Arial"/>
          <w:snapToGrid w:val="0"/>
          <w:color w:val="000000" w:themeColor="text1"/>
          <w:sz w:val="20"/>
          <w:szCs w:val="20"/>
        </w:rPr>
        <w:t xml:space="preserve">Nachhaltigkeitstreiber und </w:t>
      </w:r>
      <w:r w:rsidRPr="00EF37B1">
        <w:rPr>
          <w:rFonts w:ascii="Arial" w:eastAsia="Meiryo UI" w:hAnsi="Arial" w:cs="Arial"/>
          <w:snapToGrid w:val="0"/>
          <w:color w:val="000000" w:themeColor="text1"/>
          <w:sz w:val="20"/>
          <w:szCs w:val="20"/>
        </w:rPr>
        <w:t xml:space="preserve">zentral für die Berechnung und Optimierung von Umwelt- und Klimaauswirkungen. </w:t>
      </w:r>
      <w:r w:rsidR="00FE55FB" w:rsidRPr="00EF37B1">
        <w:rPr>
          <w:rFonts w:ascii="Arial" w:eastAsia="Meiryo UI" w:hAnsi="Arial" w:cs="Arial"/>
          <w:snapToGrid w:val="0"/>
          <w:color w:val="000000" w:themeColor="text1"/>
          <w:sz w:val="20"/>
          <w:szCs w:val="20"/>
        </w:rPr>
        <w:t xml:space="preserve">Darüber </w:t>
      </w:r>
      <w:r w:rsidR="00795A95" w:rsidRPr="00EF37B1">
        <w:rPr>
          <w:rFonts w:ascii="Arial" w:eastAsia="Meiryo UI" w:hAnsi="Arial" w:cs="Arial"/>
          <w:snapToGrid w:val="0"/>
          <w:color w:val="000000" w:themeColor="text1"/>
          <w:sz w:val="20"/>
          <w:szCs w:val="20"/>
        </w:rPr>
        <w:t xml:space="preserve">hinaus </w:t>
      </w:r>
      <w:r w:rsidR="00FE55FB" w:rsidRPr="00EF37B1">
        <w:rPr>
          <w:rFonts w:ascii="Arial" w:eastAsia="Meiryo UI" w:hAnsi="Arial" w:cs="Arial"/>
          <w:snapToGrid w:val="0"/>
          <w:color w:val="000000" w:themeColor="text1"/>
          <w:sz w:val="20"/>
          <w:szCs w:val="20"/>
        </w:rPr>
        <w:t>steigt ihre Bedeutung für Unternehmen und ihre Geschäftsmodelle massiv. Durch</w:t>
      </w:r>
      <w:r w:rsidRPr="00EF37B1">
        <w:rPr>
          <w:rFonts w:ascii="Arial" w:eastAsia="Meiryo UI" w:hAnsi="Arial" w:cs="Arial"/>
          <w:snapToGrid w:val="0"/>
          <w:color w:val="000000" w:themeColor="text1"/>
          <w:sz w:val="20"/>
          <w:szCs w:val="20"/>
        </w:rPr>
        <w:t xml:space="preserve"> IT und Software </w:t>
      </w:r>
      <w:r w:rsidR="00BE7C58" w:rsidRPr="00EF37B1">
        <w:rPr>
          <w:rFonts w:ascii="Arial" w:eastAsia="Meiryo UI" w:hAnsi="Arial" w:cs="Arial"/>
          <w:snapToGrid w:val="0"/>
          <w:color w:val="000000" w:themeColor="text1"/>
          <w:sz w:val="20"/>
          <w:szCs w:val="20"/>
        </w:rPr>
        <w:t>entsteh</w:t>
      </w:r>
      <w:r w:rsidR="00B833D6" w:rsidRPr="00EF37B1">
        <w:rPr>
          <w:rFonts w:ascii="Arial" w:eastAsia="Meiryo UI" w:hAnsi="Arial" w:cs="Arial"/>
          <w:snapToGrid w:val="0"/>
          <w:color w:val="000000" w:themeColor="text1"/>
          <w:sz w:val="20"/>
          <w:szCs w:val="20"/>
        </w:rPr>
        <w:t>t</w:t>
      </w:r>
      <w:r w:rsidR="00BE7C58" w:rsidRPr="00EF37B1">
        <w:rPr>
          <w:rFonts w:ascii="Arial" w:eastAsia="Meiryo UI" w:hAnsi="Arial" w:cs="Arial"/>
          <w:snapToGrid w:val="0"/>
          <w:color w:val="000000" w:themeColor="text1"/>
          <w:sz w:val="20"/>
          <w:szCs w:val="20"/>
        </w:rPr>
        <w:t xml:space="preserve"> </w:t>
      </w:r>
      <w:r w:rsidRPr="00EF37B1">
        <w:rPr>
          <w:rFonts w:ascii="Arial" w:eastAsia="Meiryo UI" w:hAnsi="Arial" w:cs="Arial"/>
          <w:snapToGrid w:val="0"/>
          <w:color w:val="000000" w:themeColor="text1"/>
          <w:sz w:val="20"/>
          <w:szCs w:val="20"/>
        </w:rPr>
        <w:t xml:space="preserve">natürlich </w:t>
      </w:r>
      <w:r w:rsidR="00BE7C58" w:rsidRPr="00EF37B1">
        <w:rPr>
          <w:rFonts w:ascii="Arial" w:eastAsia="Meiryo UI" w:hAnsi="Arial" w:cs="Arial"/>
          <w:snapToGrid w:val="0"/>
          <w:color w:val="000000" w:themeColor="text1"/>
          <w:sz w:val="20"/>
          <w:szCs w:val="20"/>
        </w:rPr>
        <w:t>auch eine signifikante Menge von</w:t>
      </w:r>
      <w:r w:rsidRPr="00EF37B1">
        <w:rPr>
          <w:rFonts w:ascii="Arial" w:eastAsia="Meiryo UI" w:hAnsi="Arial" w:cs="Arial"/>
          <w:snapToGrid w:val="0"/>
          <w:color w:val="000000" w:themeColor="text1"/>
          <w:sz w:val="20"/>
          <w:szCs w:val="20"/>
        </w:rPr>
        <w:t xml:space="preserve"> Emissionen – mit SCI können wir</w:t>
      </w:r>
      <w:r w:rsidR="00BE7C58" w:rsidRPr="00EF37B1">
        <w:rPr>
          <w:rFonts w:ascii="Arial" w:eastAsia="Meiryo UI" w:hAnsi="Arial" w:cs="Arial"/>
          <w:snapToGrid w:val="0"/>
          <w:color w:val="000000" w:themeColor="text1"/>
          <w:sz w:val="20"/>
          <w:szCs w:val="20"/>
        </w:rPr>
        <w:t xml:space="preserve"> dabei helfen,</w:t>
      </w:r>
      <w:r w:rsidRPr="00EF37B1">
        <w:rPr>
          <w:rFonts w:ascii="Arial" w:eastAsia="Meiryo UI" w:hAnsi="Arial" w:cs="Arial"/>
          <w:snapToGrid w:val="0"/>
          <w:color w:val="000000" w:themeColor="text1"/>
          <w:sz w:val="20"/>
          <w:szCs w:val="20"/>
        </w:rPr>
        <w:t xml:space="preserve"> diesen Faktor </w:t>
      </w:r>
      <w:r w:rsidR="00BE7C58" w:rsidRPr="00EF37B1">
        <w:rPr>
          <w:rFonts w:ascii="Arial" w:eastAsia="Meiryo UI" w:hAnsi="Arial" w:cs="Arial"/>
          <w:snapToGrid w:val="0"/>
          <w:color w:val="000000" w:themeColor="text1"/>
          <w:sz w:val="20"/>
          <w:szCs w:val="20"/>
        </w:rPr>
        <w:t xml:space="preserve">so weit wie möglich zu </w:t>
      </w:r>
      <w:r w:rsidR="00FE55FB" w:rsidRPr="00EF37B1">
        <w:rPr>
          <w:rFonts w:ascii="Arial" w:eastAsia="Meiryo UI" w:hAnsi="Arial" w:cs="Arial"/>
          <w:snapToGrid w:val="0"/>
          <w:color w:val="000000" w:themeColor="text1"/>
          <w:sz w:val="20"/>
          <w:szCs w:val="20"/>
        </w:rPr>
        <w:t>minimieren.“</w:t>
      </w:r>
    </w:p>
    <w:p w14:paraId="5611120F" w14:textId="42195B13" w:rsidR="00DB266E" w:rsidRPr="00EF37B1" w:rsidRDefault="00DB266E" w:rsidP="00EF37B1">
      <w:pPr>
        <w:rPr>
          <w:rFonts w:ascii="Arial" w:eastAsia="Meiryo UI" w:hAnsi="Arial" w:cs="Arial"/>
          <w:snapToGrid w:val="0"/>
          <w:color w:val="000000" w:themeColor="text1"/>
          <w:sz w:val="20"/>
          <w:szCs w:val="20"/>
        </w:rPr>
      </w:pPr>
    </w:p>
    <w:p w14:paraId="61C7CD6E" w14:textId="4AFD1872" w:rsidR="00577784" w:rsidRPr="00EF37B1" w:rsidRDefault="00577784" w:rsidP="00EF37B1">
      <w:pPr>
        <w:rPr>
          <w:rFonts w:ascii="Arial" w:eastAsia="Meiryo UI" w:hAnsi="Arial" w:cs="Arial"/>
          <w:b/>
          <w:snapToGrid w:val="0"/>
          <w:color w:val="000000" w:themeColor="text1"/>
          <w:sz w:val="20"/>
          <w:szCs w:val="20"/>
        </w:rPr>
      </w:pPr>
      <w:r w:rsidRPr="00EF37B1">
        <w:rPr>
          <w:rFonts w:ascii="Arial" w:eastAsia="Meiryo UI" w:hAnsi="Arial" w:cs="Arial"/>
          <w:b/>
          <w:snapToGrid w:val="0"/>
          <w:color w:val="000000" w:themeColor="text1"/>
          <w:sz w:val="20"/>
          <w:szCs w:val="20"/>
        </w:rPr>
        <w:t>SCI</w:t>
      </w:r>
      <w:r w:rsidR="00027DFE">
        <w:rPr>
          <w:rFonts w:ascii="Arial" w:eastAsia="Meiryo UI" w:hAnsi="Arial" w:cs="Arial"/>
          <w:b/>
          <w:snapToGrid w:val="0"/>
          <w:color w:val="000000" w:themeColor="text1"/>
          <w:sz w:val="20"/>
          <w:szCs w:val="20"/>
        </w:rPr>
        <w:t>-</w:t>
      </w:r>
      <w:r w:rsidRPr="00EF37B1">
        <w:rPr>
          <w:rFonts w:ascii="Arial" w:eastAsia="Meiryo UI" w:hAnsi="Arial" w:cs="Arial"/>
          <w:b/>
          <w:snapToGrid w:val="0"/>
          <w:color w:val="000000" w:themeColor="text1"/>
          <w:sz w:val="20"/>
          <w:szCs w:val="20"/>
        </w:rPr>
        <w:t xml:space="preserve">Anwendung und </w:t>
      </w:r>
      <w:r w:rsidR="00027DFE">
        <w:rPr>
          <w:rFonts w:ascii="Arial" w:eastAsia="Meiryo UI" w:hAnsi="Arial" w:cs="Arial"/>
          <w:b/>
          <w:snapToGrid w:val="0"/>
          <w:color w:val="000000" w:themeColor="text1"/>
          <w:sz w:val="20"/>
          <w:szCs w:val="20"/>
        </w:rPr>
        <w:t>-</w:t>
      </w:r>
      <w:r w:rsidRPr="00EF37B1">
        <w:rPr>
          <w:rFonts w:ascii="Arial" w:eastAsia="Meiryo UI" w:hAnsi="Arial" w:cs="Arial"/>
          <w:b/>
          <w:snapToGrid w:val="0"/>
          <w:color w:val="000000" w:themeColor="text1"/>
          <w:sz w:val="20"/>
          <w:szCs w:val="20"/>
        </w:rPr>
        <w:t>Schwerpunkte</w:t>
      </w:r>
    </w:p>
    <w:p w14:paraId="4DF269F6" w14:textId="3073CB84" w:rsidR="00876290" w:rsidRPr="00EF37B1" w:rsidRDefault="00876290" w:rsidP="00613478">
      <w:pPr>
        <w:widowControl w:val="0"/>
        <w:rPr>
          <w:rFonts w:ascii="Arial" w:eastAsia="Meiryo UI" w:hAnsi="Arial" w:cs="Arial"/>
          <w:snapToGrid w:val="0"/>
          <w:color w:val="000000" w:themeColor="text1"/>
          <w:sz w:val="20"/>
          <w:szCs w:val="20"/>
        </w:rPr>
      </w:pPr>
      <w:r w:rsidRPr="00EF37B1">
        <w:rPr>
          <w:rFonts w:ascii="Arial" w:eastAsia="Meiryo UI" w:hAnsi="Arial" w:cs="Arial"/>
          <w:snapToGrid w:val="0"/>
          <w:color w:val="000000" w:themeColor="text1"/>
          <w:sz w:val="20"/>
          <w:szCs w:val="20"/>
        </w:rPr>
        <w:t xml:space="preserve">Der SCI-Wert kann für jede Softwareanwendung berechnet werden, von einem großen verteilten Cloud-System bis zu einem Open-Source-Handyspiel und allem, was dazwischenliegt. Bei den Punktewerten des SCI handelt es sich um eine spezifische Kennzahl, nicht um </w:t>
      </w:r>
      <w:r w:rsidR="00613478">
        <w:rPr>
          <w:rFonts w:ascii="Arial" w:eastAsia="Meiryo UI" w:hAnsi="Arial" w:cs="Arial"/>
          <w:snapToGrid w:val="0"/>
          <w:color w:val="000000" w:themeColor="text1"/>
          <w:sz w:val="20"/>
          <w:szCs w:val="20"/>
        </w:rPr>
        <w:t xml:space="preserve">einen </w:t>
      </w:r>
      <w:r w:rsidR="00613478" w:rsidRPr="00613478">
        <w:rPr>
          <w:rFonts w:ascii="Arial" w:eastAsia="Meiryo UI" w:hAnsi="Arial" w:cs="Arial"/>
          <w:snapToGrid w:val="0"/>
          <w:color w:val="000000" w:themeColor="text1"/>
          <w:sz w:val="20"/>
          <w:szCs w:val="20"/>
        </w:rPr>
        <w:t>absoluten Betrag für den Kohlenstoff-Fußabdruck</w:t>
      </w:r>
      <w:r w:rsidRPr="00EF37B1">
        <w:rPr>
          <w:rFonts w:ascii="Arial" w:eastAsia="Meiryo UI" w:hAnsi="Arial" w:cs="Arial"/>
          <w:snapToGrid w:val="0"/>
          <w:color w:val="000000" w:themeColor="text1"/>
          <w:sz w:val="20"/>
          <w:szCs w:val="20"/>
        </w:rPr>
        <w:t>. Der Schwerpunkt der SCI-Bewertung liegt auf der Reduzierung der CO</w:t>
      </w:r>
      <w:r w:rsidRPr="00EF37B1">
        <w:rPr>
          <w:rFonts w:ascii="Arial" w:eastAsia="Meiryo UI" w:hAnsi="Arial" w:cs="Arial"/>
          <w:snapToGrid w:val="0"/>
          <w:color w:val="000000" w:themeColor="text1"/>
          <w:sz w:val="20"/>
          <w:szCs w:val="20"/>
          <w:vertAlign w:val="subscript"/>
        </w:rPr>
        <w:t>2</w:t>
      </w:r>
      <w:r w:rsidRPr="00EF37B1">
        <w:rPr>
          <w:rFonts w:ascii="Arial" w:eastAsia="Meiryo UI" w:hAnsi="Arial" w:cs="Arial"/>
          <w:snapToGrid w:val="0"/>
          <w:color w:val="000000" w:themeColor="text1"/>
          <w:sz w:val="20"/>
          <w:szCs w:val="20"/>
        </w:rPr>
        <w:t xml:space="preserve">-Emissionen, nicht auf deren Neutralisierung. Eine Verbesserung des SCI-Wertes ist nur durch Änderungen an einem Softwaresystem möglich, um weniger physische Hardware und weniger Energie zu verwenden oder </w:t>
      </w:r>
      <w:r w:rsidR="00FA2866" w:rsidRPr="00EF37B1">
        <w:rPr>
          <w:rFonts w:ascii="Arial" w:eastAsia="Meiryo UI" w:hAnsi="Arial" w:cs="Arial"/>
          <w:snapToGrid w:val="0"/>
          <w:color w:val="000000" w:themeColor="text1"/>
          <w:sz w:val="20"/>
          <w:szCs w:val="20"/>
        </w:rPr>
        <w:t>CO</w:t>
      </w:r>
      <w:r w:rsidR="00FA2866" w:rsidRPr="00EF37B1">
        <w:rPr>
          <w:rFonts w:ascii="Arial" w:eastAsia="Meiryo UI" w:hAnsi="Arial" w:cs="Arial"/>
          <w:snapToGrid w:val="0"/>
          <w:color w:val="000000" w:themeColor="text1"/>
          <w:sz w:val="20"/>
          <w:szCs w:val="20"/>
          <w:vertAlign w:val="subscript"/>
        </w:rPr>
        <w:t>2</w:t>
      </w:r>
      <w:r w:rsidR="00FA2866" w:rsidRPr="00EF37B1">
        <w:rPr>
          <w:rFonts w:ascii="Arial" w:eastAsia="Meiryo UI" w:hAnsi="Arial" w:cs="Arial"/>
          <w:snapToGrid w:val="0"/>
          <w:color w:val="000000" w:themeColor="text1"/>
          <w:sz w:val="20"/>
          <w:szCs w:val="20"/>
        </w:rPr>
        <w:t>-</w:t>
      </w:r>
      <w:r w:rsidRPr="00EF37B1">
        <w:rPr>
          <w:rFonts w:ascii="Arial" w:eastAsia="Meiryo UI" w:hAnsi="Arial" w:cs="Arial"/>
          <w:snapToGrid w:val="0"/>
          <w:color w:val="000000" w:themeColor="text1"/>
          <w:sz w:val="20"/>
          <w:szCs w:val="20"/>
        </w:rPr>
        <w:t xml:space="preserve">ärmere Energiequellen zu nutzen. Neutralisierungen, wie z. B. </w:t>
      </w:r>
      <w:r w:rsidR="007A312C" w:rsidRPr="00EF37B1">
        <w:rPr>
          <w:rFonts w:ascii="Arial" w:eastAsia="Meiryo UI" w:hAnsi="Arial" w:cs="Arial"/>
          <w:snapToGrid w:val="0"/>
          <w:color w:val="000000" w:themeColor="text1"/>
          <w:sz w:val="20"/>
          <w:szCs w:val="20"/>
        </w:rPr>
        <w:t>CO</w:t>
      </w:r>
      <w:r w:rsidR="007A312C" w:rsidRPr="00EF37B1">
        <w:rPr>
          <w:rFonts w:ascii="Arial" w:eastAsia="Meiryo UI" w:hAnsi="Arial" w:cs="Arial"/>
          <w:snapToGrid w:val="0"/>
          <w:color w:val="000000" w:themeColor="text1"/>
          <w:sz w:val="20"/>
          <w:szCs w:val="20"/>
          <w:vertAlign w:val="subscript"/>
        </w:rPr>
        <w:t>2</w:t>
      </w:r>
      <w:r w:rsidR="007A312C" w:rsidRPr="00EF37B1">
        <w:rPr>
          <w:rFonts w:ascii="Arial" w:eastAsia="Meiryo UI" w:hAnsi="Arial" w:cs="Arial"/>
          <w:snapToGrid w:val="0"/>
          <w:color w:val="000000" w:themeColor="text1"/>
          <w:sz w:val="20"/>
          <w:szCs w:val="20"/>
        </w:rPr>
        <w:t>-K</w:t>
      </w:r>
      <w:r w:rsidRPr="00EF37B1">
        <w:rPr>
          <w:rFonts w:ascii="Arial" w:eastAsia="Meiryo UI" w:hAnsi="Arial" w:cs="Arial"/>
          <w:snapToGrid w:val="0"/>
          <w:color w:val="000000" w:themeColor="text1"/>
          <w:sz w:val="20"/>
          <w:szCs w:val="20"/>
        </w:rPr>
        <w:t>ompensationen, verringern den SCI-Wert nicht.</w:t>
      </w:r>
    </w:p>
    <w:p w14:paraId="67D7D84F" w14:textId="77777777" w:rsidR="00876290" w:rsidRPr="00EF37B1" w:rsidRDefault="00876290" w:rsidP="00EF37B1">
      <w:pPr>
        <w:rPr>
          <w:rFonts w:ascii="Arial" w:eastAsia="Meiryo UI" w:hAnsi="Arial" w:cs="Arial"/>
          <w:snapToGrid w:val="0"/>
          <w:color w:val="000000" w:themeColor="text1"/>
          <w:sz w:val="20"/>
          <w:szCs w:val="20"/>
        </w:rPr>
      </w:pPr>
    </w:p>
    <w:p w14:paraId="39E46754" w14:textId="1CECEF96" w:rsidR="00F74C6A" w:rsidRPr="00EF37B1" w:rsidRDefault="00886034" w:rsidP="00EF37B1">
      <w:pPr>
        <w:rPr>
          <w:rFonts w:ascii="Arial" w:eastAsia="Meiryo UI" w:hAnsi="Arial" w:cs="Arial"/>
          <w:b/>
          <w:snapToGrid w:val="0"/>
          <w:color w:val="000000" w:themeColor="text1"/>
          <w:sz w:val="20"/>
          <w:szCs w:val="20"/>
        </w:rPr>
      </w:pPr>
      <w:r w:rsidRPr="00EF37B1">
        <w:rPr>
          <w:rFonts w:ascii="Arial" w:eastAsia="Meiryo UI" w:hAnsi="Arial" w:cs="Arial"/>
          <w:b/>
          <w:snapToGrid w:val="0"/>
          <w:color w:val="000000" w:themeColor="text1"/>
          <w:sz w:val="20"/>
          <w:szCs w:val="20"/>
        </w:rPr>
        <w:t xml:space="preserve">NTT DATA </w:t>
      </w:r>
      <w:r w:rsidR="009E100E" w:rsidRPr="00EF37B1">
        <w:rPr>
          <w:rFonts w:ascii="Arial" w:eastAsia="Meiryo UI" w:hAnsi="Arial" w:cs="Arial"/>
          <w:b/>
          <w:snapToGrid w:val="0"/>
          <w:color w:val="000000" w:themeColor="text1"/>
          <w:sz w:val="20"/>
          <w:szCs w:val="20"/>
        </w:rPr>
        <w:t xml:space="preserve">Zukunftsinitiativen </w:t>
      </w:r>
    </w:p>
    <w:p w14:paraId="24304813" w14:textId="4519A42A" w:rsidR="00F74C6A" w:rsidRPr="00EF37B1" w:rsidRDefault="009E100E" w:rsidP="00EF37B1">
      <w:pPr>
        <w:rPr>
          <w:rFonts w:ascii="Arial" w:eastAsia="Meiryo UI" w:hAnsi="Arial" w:cs="Arial"/>
          <w:snapToGrid w:val="0"/>
          <w:color w:val="000000" w:themeColor="text1"/>
          <w:sz w:val="20"/>
          <w:szCs w:val="20"/>
        </w:rPr>
      </w:pPr>
      <w:r w:rsidRPr="00EF37B1">
        <w:rPr>
          <w:rFonts w:ascii="Arial" w:eastAsia="Meiryo UI" w:hAnsi="Arial" w:cs="Arial"/>
          <w:snapToGrid w:val="0"/>
          <w:color w:val="000000" w:themeColor="text1"/>
          <w:sz w:val="20"/>
          <w:szCs w:val="20"/>
        </w:rPr>
        <w:t xml:space="preserve">Als IT-Dienstleister </w:t>
      </w:r>
      <w:r w:rsidR="00972F0E" w:rsidRPr="00EF37B1">
        <w:rPr>
          <w:rFonts w:ascii="Arial" w:eastAsia="Meiryo UI" w:hAnsi="Arial" w:cs="Arial"/>
          <w:snapToGrid w:val="0"/>
          <w:color w:val="000000" w:themeColor="text1"/>
          <w:sz w:val="20"/>
          <w:szCs w:val="20"/>
        </w:rPr>
        <w:t xml:space="preserve">wird NTT DATA </w:t>
      </w:r>
      <w:r w:rsidRPr="00EF37B1">
        <w:rPr>
          <w:rFonts w:ascii="Arial" w:eastAsia="Meiryo UI" w:hAnsi="Arial" w:cs="Arial"/>
          <w:snapToGrid w:val="0"/>
          <w:color w:val="000000" w:themeColor="text1"/>
          <w:sz w:val="20"/>
          <w:szCs w:val="20"/>
        </w:rPr>
        <w:t xml:space="preserve">umwelt- </w:t>
      </w:r>
      <w:r w:rsidR="00324127" w:rsidRPr="00EF37B1">
        <w:rPr>
          <w:rFonts w:ascii="Arial" w:eastAsia="Meiryo UI" w:hAnsi="Arial" w:cs="Arial"/>
          <w:snapToGrid w:val="0"/>
          <w:color w:val="000000" w:themeColor="text1"/>
          <w:sz w:val="20"/>
          <w:szCs w:val="20"/>
        </w:rPr>
        <w:t xml:space="preserve">bzw. </w:t>
      </w:r>
      <w:r w:rsidRPr="00EF37B1">
        <w:rPr>
          <w:rFonts w:ascii="Arial" w:eastAsia="Meiryo UI" w:hAnsi="Arial" w:cs="Arial"/>
          <w:snapToGrid w:val="0"/>
          <w:color w:val="000000" w:themeColor="text1"/>
          <w:sz w:val="20"/>
          <w:szCs w:val="20"/>
        </w:rPr>
        <w:t>softwarebezogene Organisationen und Unternehmen</w:t>
      </w:r>
      <w:r w:rsidR="00A51F76" w:rsidRPr="00EF37B1">
        <w:rPr>
          <w:rFonts w:ascii="Arial" w:eastAsia="Meiryo UI" w:hAnsi="Arial" w:cs="Arial"/>
          <w:snapToGrid w:val="0"/>
          <w:color w:val="000000" w:themeColor="text1"/>
          <w:sz w:val="20"/>
          <w:szCs w:val="20"/>
        </w:rPr>
        <w:t xml:space="preserve"> </w:t>
      </w:r>
      <w:r w:rsidR="00886034" w:rsidRPr="00EF37B1">
        <w:rPr>
          <w:rFonts w:ascii="Arial" w:eastAsia="Meiryo UI" w:hAnsi="Arial" w:cs="Arial"/>
          <w:snapToGrid w:val="0"/>
          <w:color w:val="000000" w:themeColor="text1"/>
          <w:sz w:val="20"/>
          <w:szCs w:val="20"/>
        </w:rPr>
        <w:t xml:space="preserve">zur Anwendung von </w:t>
      </w:r>
      <w:r w:rsidR="00324127" w:rsidRPr="00EF37B1">
        <w:rPr>
          <w:rFonts w:ascii="Arial" w:eastAsia="Meiryo UI" w:hAnsi="Arial" w:cs="Arial"/>
          <w:snapToGrid w:val="0"/>
          <w:color w:val="000000" w:themeColor="text1"/>
          <w:sz w:val="20"/>
          <w:szCs w:val="20"/>
        </w:rPr>
        <w:t xml:space="preserve">SCI </w:t>
      </w:r>
      <w:r w:rsidR="00886034" w:rsidRPr="00EF37B1">
        <w:rPr>
          <w:rFonts w:ascii="Arial" w:eastAsia="Meiryo UI" w:hAnsi="Arial" w:cs="Arial"/>
          <w:snapToGrid w:val="0"/>
          <w:color w:val="000000" w:themeColor="text1"/>
          <w:sz w:val="20"/>
          <w:szCs w:val="20"/>
        </w:rPr>
        <w:t xml:space="preserve">anregen </w:t>
      </w:r>
      <w:r w:rsidR="00324127" w:rsidRPr="00EF37B1">
        <w:rPr>
          <w:rFonts w:ascii="Arial" w:eastAsia="Meiryo UI" w:hAnsi="Arial" w:cs="Arial"/>
          <w:snapToGrid w:val="0"/>
          <w:color w:val="000000" w:themeColor="text1"/>
          <w:sz w:val="20"/>
          <w:szCs w:val="20"/>
        </w:rPr>
        <w:t xml:space="preserve">sowie </w:t>
      </w:r>
      <w:r w:rsidRPr="00EF37B1">
        <w:rPr>
          <w:rFonts w:ascii="Arial" w:eastAsia="Meiryo UI" w:hAnsi="Arial" w:cs="Arial"/>
          <w:snapToGrid w:val="0"/>
          <w:color w:val="000000" w:themeColor="text1"/>
          <w:sz w:val="20"/>
          <w:szCs w:val="20"/>
        </w:rPr>
        <w:t xml:space="preserve">Diskussionen über die Nutzung und Verbesserung fördern. </w:t>
      </w:r>
      <w:r w:rsidR="00DD1F8D" w:rsidRPr="00EF37B1">
        <w:rPr>
          <w:rFonts w:ascii="Arial" w:eastAsia="Meiryo UI" w:hAnsi="Arial" w:cs="Arial"/>
          <w:snapToGrid w:val="0"/>
          <w:color w:val="000000" w:themeColor="text1"/>
          <w:sz w:val="20"/>
          <w:szCs w:val="20"/>
        </w:rPr>
        <w:t>A</w:t>
      </w:r>
      <w:r w:rsidR="00E14C4E" w:rsidRPr="00EF37B1">
        <w:rPr>
          <w:rFonts w:ascii="Arial" w:eastAsia="Meiryo UI" w:hAnsi="Arial" w:cs="Arial"/>
          <w:snapToGrid w:val="0"/>
          <w:color w:val="000000" w:themeColor="text1"/>
          <w:sz w:val="20"/>
          <w:szCs w:val="20"/>
        </w:rPr>
        <w:t xml:space="preserve">uf die praktische Anwendung des SCI als globalen Standard </w:t>
      </w:r>
      <w:r w:rsidR="00DD1F8D" w:rsidRPr="00EF37B1">
        <w:rPr>
          <w:rFonts w:ascii="Arial" w:eastAsia="Meiryo UI" w:hAnsi="Arial" w:cs="Arial"/>
          <w:snapToGrid w:val="0"/>
          <w:color w:val="000000" w:themeColor="text1"/>
          <w:sz w:val="20"/>
          <w:szCs w:val="20"/>
        </w:rPr>
        <w:t xml:space="preserve">arbeitet NTT DATA </w:t>
      </w:r>
      <w:r w:rsidR="00E14C4E" w:rsidRPr="00EF37B1">
        <w:rPr>
          <w:rFonts w:ascii="Arial" w:eastAsia="Meiryo UI" w:hAnsi="Arial" w:cs="Arial"/>
          <w:snapToGrid w:val="0"/>
          <w:color w:val="000000" w:themeColor="text1"/>
          <w:sz w:val="20"/>
          <w:szCs w:val="20"/>
        </w:rPr>
        <w:t xml:space="preserve">hin, indem in Zusammenarbeit mit </w:t>
      </w:r>
      <w:r w:rsidR="00886034" w:rsidRPr="00EF37B1">
        <w:rPr>
          <w:rFonts w:ascii="Arial" w:eastAsia="Meiryo UI" w:hAnsi="Arial" w:cs="Arial"/>
          <w:snapToGrid w:val="0"/>
          <w:color w:val="000000" w:themeColor="text1"/>
          <w:sz w:val="20"/>
          <w:szCs w:val="20"/>
        </w:rPr>
        <w:t xml:space="preserve">den </w:t>
      </w:r>
      <w:r w:rsidR="00E14C4E" w:rsidRPr="00EF37B1">
        <w:rPr>
          <w:rFonts w:ascii="Arial" w:eastAsia="Meiryo UI" w:hAnsi="Arial" w:cs="Arial"/>
          <w:snapToGrid w:val="0"/>
          <w:color w:val="000000" w:themeColor="text1"/>
          <w:sz w:val="20"/>
          <w:szCs w:val="20"/>
        </w:rPr>
        <w:t xml:space="preserve">Unternehmen der </w:t>
      </w:r>
      <w:r w:rsidR="00886034" w:rsidRPr="00EF37B1">
        <w:rPr>
          <w:rFonts w:ascii="Arial" w:eastAsia="Meiryo UI" w:hAnsi="Arial" w:cs="Arial"/>
          <w:snapToGrid w:val="0"/>
          <w:color w:val="000000" w:themeColor="text1"/>
          <w:sz w:val="20"/>
          <w:szCs w:val="20"/>
        </w:rPr>
        <w:t xml:space="preserve">NTT Group </w:t>
      </w:r>
      <w:r w:rsidR="00E14C4E" w:rsidRPr="00EF37B1">
        <w:rPr>
          <w:rFonts w:ascii="Arial" w:eastAsia="Meiryo UI" w:hAnsi="Arial" w:cs="Arial"/>
          <w:snapToGrid w:val="0"/>
          <w:color w:val="000000" w:themeColor="text1"/>
          <w:sz w:val="20"/>
          <w:szCs w:val="20"/>
        </w:rPr>
        <w:t xml:space="preserve">weltweit </w:t>
      </w:r>
      <w:r w:rsidR="00DD1F8D" w:rsidRPr="00EF37B1">
        <w:rPr>
          <w:rFonts w:ascii="Arial" w:eastAsia="Meiryo UI" w:hAnsi="Arial" w:cs="Arial"/>
          <w:snapToGrid w:val="0"/>
          <w:color w:val="000000" w:themeColor="text1"/>
          <w:sz w:val="20"/>
          <w:szCs w:val="20"/>
        </w:rPr>
        <w:t>gezielte Aktivitäten vorangetrieben werden</w:t>
      </w:r>
      <w:r w:rsidR="00E14C4E" w:rsidRPr="00EF37B1">
        <w:rPr>
          <w:rFonts w:ascii="Arial" w:eastAsia="Meiryo UI" w:hAnsi="Arial" w:cs="Arial"/>
          <w:snapToGrid w:val="0"/>
          <w:color w:val="000000" w:themeColor="text1"/>
          <w:sz w:val="20"/>
          <w:szCs w:val="20"/>
        </w:rPr>
        <w:t>.</w:t>
      </w:r>
      <w:r w:rsidR="00886034" w:rsidRPr="00EF37B1">
        <w:rPr>
          <w:rFonts w:ascii="Arial" w:eastAsia="Meiryo UI" w:hAnsi="Arial" w:cs="Arial"/>
          <w:snapToGrid w:val="0"/>
          <w:color w:val="000000" w:themeColor="text1"/>
          <w:sz w:val="20"/>
          <w:szCs w:val="20"/>
        </w:rPr>
        <w:t xml:space="preserve"> </w:t>
      </w:r>
      <w:r w:rsidR="00972F0E" w:rsidRPr="00EF37B1">
        <w:rPr>
          <w:rFonts w:ascii="Arial" w:eastAsia="Meiryo UI" w:hAnsi="Arial" w:cs="Arial"/>
          <w:snapToGrid w:val="0"/>
          <w:color w:val="000000" w:themeColor="text1"/>
          <w:sz w:val="20"/>
          <w:szCs w:val="20"/>
        </w:rPr>
        <w:t>Dazu gehört auch,</w:t>
      </w:r>
      <w:r w:rsidRPr="00EF37B1">
        <w:rPr>
          <w:rFonts w:ascii="Arial" w:eastAsia="Meiryo UI" w:hAnsi="Arial" w:cs="Arial"/>
          <w:snapToGrid w:val="0"/>
          <w:color w:val="000000" w:themeColor="text1"/>
          <w:sz w:val="20"/>
          <w:szCs w:val="20"/>
        </w:rPr>
        <w:t xml:space="preserve"> Technologien </w:t>
      </w:r>
      <w:r w:rsidR="00DD1F8D" w:rsidRPr="00EF37B1">
        <w:rPr>
          <w:rFonts w:ascii="Arial" w:eastAsia="Meiryo UI" w:hAnsi="Arial" w:cs="Arial"/>
          <w:snapToGrid w:val="0"/>
          <w:color w:val="000000" w:themeColor="text1"/>
          <w:sz w:val="20"/>
          <w:szCs w:val="20"/>
        </w:rPr>
        <w:t xml:space="preserve">sowie </w:t>
      </w:r>
      <w:r w:rsidRPr="00EF37B1">
        <w:rPr>
          <w:rFonts w:ascii="Arial" w:eastAsia="Meiryo UI" w:hAnsi="Arial" w:cs="Arial"/>
          <w:snapToGrid w:val="0"/>
          <w:color w:val="000000" w:themeColor="text1"/>
          <w:sz w:val="20"/>
          <w:szCs w:val="20"/>
        </w:rPr>
        <w:t xml:space="preserve">Methoden für die Entwicklung und den Betrieb von </w:t>
      </w:r>
      <w:r w:rsidRPr="00EF37B1">
        <w:rPr>
          <w:rFonts w:ascii="Arial" w:eastAsia="Meiryo UI" w:hAnsi="Arial" w:cs="Arial"/>
          <w:snapToGrid w:val="0"/>
          <w:color w:val="000000" w:themeColor="text1"/>
          <w:sz w:val="20"/>
          <w:szCs w:val="20"/>
        </w:rPr>
        <w:lastRenderedPageBreak/>
        <w:t>Systemen mit geringeren Umweltauswirkungen</w:t>
      </w:r>
      <w:r w:rsidR="00972F0E" w:rsidRPr="00EF37B1">
        <w:rPr>
          <w:rFonts w:ascii="Arial" w:eastAsia="Meiryo UI" w:hAnsi="Arial" w:cs="Arial"/>
          <w:snapToGrid w:val="0"/>
          <w:color w:val="000000" w:themeColor="text1"/>
          <w:sz w:val="20"/>
          <w:szCs w:val="20"/>
        </w:rPr>
        <w:t xml:space="preserve"> zu</w:t>
      </w:r>
      <w:r w:rsidRPr="00EF37B1">
        <w:rPr>
          <w:rFonts w:ascii="Arial" w:eastAsia="Meiryo UI" w:hAnsi="Arial" w:cs="Arial"/>
          <w:snapToGrid w:val="0"/>
          <w:color w:val="000000" w:themeColor="text1"/>
          <w:sz w:val="20"/>
          <w:szCs w:val="20"/>
        </w:rPr>
        <w:t xml:space="preserve"> etablieren</w:t>
      </w:r>
      <w:r w:rsidR="00A51F76" w:rsidRPr="00EF37B1">
        <w:rPr>
          <w:rFonts w:ascii="Arial" w:eastAsia="Meiryo UI" w:hAnsi="Arial" w:cs="Arial"/>
          <w:snapToGrid w:val="0"/>
          <w:color w:val="000000" w:themeColor="text1"/>
          <w:sz w:val="20"/>
          <w:szCs w:val="20"/>
        </w:rPr>
        <w:t xml:space="preserve">. </w:t>
      </w:r>
      <w:r w:rsidRPr="00EF37B1">
        <w:rPr>
          <w:rFonts w:ascii="Arial" w:eastAsia="Meiryo UI" w:hAnsi="Arial" w:cs="Arial"/>
          <w:snapToGrid w:val="0"/>
          <w:color w:val="000000" w:themeColor="text1"/>
          <w:sz w:val="20"/>
          <w:szCs w:val="20"/>
        </w:rPr>
        <w:t xml:space="preserve">Darüber hinaus </w:t>
      </w:r>
      <w:r w:rsidR="00972F0E" w:rsidRPr="00EF37B1">
        <w:rPr>
          <w:rFonts w:ascii="Arial" w:eastAsia="Meiryo UI" w:hAnsi="Arial" w:cs="Arial"/>
          <w:snapToGrid w:val="0"/>
          <w:color w:val="000000" w:themeColor="text1"/>
          <w:sz w:val="20"/>
          <w:szCs w:val="20"/>
        </w:rPr>
        <w:t>geht es darum,</w:t>
      </w:r>
      <w:r w:rsidRPr="00EF37B1">
        <w:rPr>
          <w:rFonts w:ascii="Arial" w:eastAsia="Meiryo UI" w:hAnsi="Arial" w:cs="Arial"/>
          <w:snapToGrid w:val="0"/>
          <w:color w:val="000000" w:themeColor="text1"/>
          <w:sz w:val="20"/>
          <w:szCs w:val="20"/>
        </w:rPr>
        <w:t xml:space="preserve"> aktiv das Bewusstsein für die Bemühungen zur Dekarbonisierung im Softwarebereich</w:t>
      </w:r>
      <w:r w:rsidR="00972F0E" w:rsidRPr="00EF37B1">
        <w:rPr>
          <w:rFonts w:ascii="Arial" w:eastAsia="Meiryo UI" w:hAnsi="Arial" w:cs="Arial"/>
          <w:snapToGrid w:val="0"/>
          <w:color w:val="000000" w:themeColor="text1"/>
          <w:sz w:val="20"/>
          <w:szCs w:val="20"/>
        </w:rPr>
        <w:t xml:space="preserve"> zu</w:t>
      </w:r>
      <w:r w:rsidRPr="00EF37B1">
        <w:rPr>
          <w:rFonts w:ascii="Arial" w:eastAsia="Meiryo UI" w:hAnsi="Arial" w:cs="Arial"/>
          <w:snapToGrid w:val="0"/>
          <w:color w:val="000000" w:themeColor="text1"/>
          <w:sz w:val="20"/>
          <w:szCs w:val="20"/>
        </w:rPr>
        <w:t xml:space="preserve"> schärfen, einschließlich </w:t>
      </w:r>
      <w:r w:rsidR="00E14C4E" w:rsidRPr="00EF37B1">
        <w:rPr>
          <w:rFonts w:ascii="Arial" w:eastAsia="Meiryo UI" w:hAnsi="Arial" w:cs="Arial"/>
          <w:snapToGrid w:val="0"/>
          <w:color w:val="000000" w:themeColor="text1"/>
          <w:sz w:val="20"/>
          <w:szCs w:val="20"/>
        </w:rPr>
        <w:t>Software Carbon Intensity</w:t>
      </w:r>
      <w:r w:rsidR="00DD1F8D" w:rsidRPr="00EF37B1">
        <w:rPr>
          <w:rFonts w:ascii="Arial" w:eastAsia="Meiryo UI" w:hAnsi="Arial" w:cs="Arial"/>
          <w:snapToGrid w:val="0"/>
          <w:color w:val="000000" w:themeColor="text1"/>
          <w:sz w:val="20"/>
          <w:szCs w:val="20"/>
        </w:rPr>
        <w:t>.</w:t>
      </w:r>
    </w:p>
    <w:p w14:paraId="77352CDC" w14:textId="77777777" w:rsidR="00876290" w:rsidRPr="00EF37B1" w:rsidRDefault="00876290" w:rsidP="00EF37B1">
      <w:pPr>
        <w:rPr>
          <w:rFonts w:ascii="Arial" w:eastAsia="Meiryo UI" w:hAnsi="Arial" w:cs="Arial"/>
          <w:snapToGrid w:val="0"/>
          <w:color w:val="000000" w:themeColor="text1"/>
          <w:sz w:val="20"/>
          <w:szCs w:val="20"/>
        </w:rPr>
      </w:pPr>
    </w:p>
    <w:p w14:paraId="014AAB8E" w14:textId="4A95C174" w:rsidR="00876290" w:rsidRPr="00EF37B1" w:rsidRDefault="00876290" w:rsidP="00EF37B1">
      <w:pPr>
        <w:rPr>
          <w:rFonts w:ascii="Arial" w:eastAsia="Meiryo UI" w:hAnsi="Arial" w:cs="Arial"/>
          <w:b/>
          <w:snapToGrid w:val="0"/>
          <w:color w:val="000000" w:themeColor="text1"/>
          <w:sz w:val="20"/>
          <w:szCs w:val="20"/>
        </w:rPr>
      </w:pPr>
      <w:r w:rsidRPr="00EF37B1">
        <w:rPr>
          <w:rFonts w:ascii="Arial" w:eastAsia="Meiryo UI" w:hAnsi="Arial" w:cs="Arial"/>
          <w:b/>
          <w:snapToGrid w:val="0"/>
          <w:color w:val="000000" w:themeColor="text1"/>
          <w:sz w:val="20"/>
          <w:szCs w:val="20"/>
        </w:rPr>
        <w:t>Grüne NTT Innovation</w:t>
      </w:r>
      <w:r w:rsidR="004D5F09" w:rsidRPr="00EF37B1">
        <w:rPr>
          <w:rFonts w:ascii="Arial" w:eastAsia="Meiryo UI" w:hAnsi="Arial" w:cs="Arial"/>
          <w:b/>
          <w:snapToGrid w:val="0"/>
          <w:color w:val="000000" w:themeColor="text1"/>
          <w:sz w:val="20"/>
          <w:szCs w:val="20"/>
        </w:rPr>
        <w:t>en</w:t>
      </w:r>
    </w:p>
    <w:p w14:paraId="28A41A11" w14:textId="0EAB5640" w:rsidR="00876290" w:rsidRPr="00EF37B1" w:rsidRDefault="00876290" w:rsidP="00EF37B1">
      <w:pPr>
        <w:rPr>
          <w:rFonts w:ascii="Arial" w:eastAsia="Meiryo UI" w:hAnsi="Arial" w:cs="Arial"/>
          <w:snapToGrid w:val="0"/>
          <w:color w:val="000000" w:themeColor="text1"/>
          <w:sz w:val="20"/>
          <w:szCs w:val="20"/>
        </w:rPr>
      </w:pPr>
      <w:r w:rsidRPr="00EF37B1">
        <w:rPr>
          <w:rFonts w:ascii="Arial" w:eastAsia="Meiryo UI" w:hAnsi="Arial" w:cs="Arial"/>
          <w:snapToGrid w:val="0"/>
          <w:color w:val="000000" w:themeColor="text1"/>
          <w:sz w:val="20"/>
          <w:szCs w:val="20"/>
        </w:rPr>
        <w:t xml:space="preserve">Die NTT-Gruppe hat im September 2021 ihre </w:t>
      </w:r>
      <w:hyperlink r:id="rId9" w:history="1">
        <w:r w:rsidRPr="00EF37B1">
          <w:rPr>
            <w:rStyle w:val="Hyperlink"/>
            <w:rFonts w:ascii="Arial" w:eastAsia="Meiryo UI" w:hAnsi="Arial" w:cs="Arial"/>
            <w:snapToGrid w:val="0"/>
            <w:sz w:val="20"/>
            <w:szCs w:val="20"/>
          </w:rPr>
          <w:t>Umwelt- und Energievision</w:t>
        </w:r>
      </w:hyperlink>
      <w:r w:rsidRPr="00EF37B1">
        <w:rPr>
          <w:rFonts w:ascii="Arial" w:eastAsia="Meiryo UI" w:hAnsi="Arial" w:cs="Arial"/>
          <w:snapToGrid w:val="0"/>
          <w:color w:val="000000" w:themeColor="text1"/>
          <w:sz w:val="20"/>
          <w:szCs w:val="20"/>
        </w:rPr>
        <w:t xml:space="preserve"> definiert. Im Rahmen dieser Vision zielt die NTT-Gruppe darauf ab, 80 % der von der NTT-Gruppe emittierten Treibhausgase bis zum GJ 2030 zu reduzieren und bis zum GJ 2040 </w:t>
      </w:r>
      <w:r w:rsidR="00FA2866" w:rsidRPr="00EF37B1">
        <w:rPr>
          <w:rFonts w:ascii="Arial" w:eastAsia="Meiryo UI" w:hAnsi="Arial" w:cs="Arial"/>
          <w:snapToGrid w:val="0"/>
          <w:color w:val="000000" w:themeColor="text1"/>
          <w:sz w:val="20"/>
          <w:szCs w:val="20"/>
        </w:rPr>
        <w:t>Klima</w:t>
      </w:r>
      <w:r w:rsidRPr="00EF37B1">
        <w:rPr>
          <w:rFonts w:ascii="Arial" w:eastAsia="Meiryo UI" w:hAnsi="Arial" w:cs="Arial"/>
          <w:snapToGrid w:val="0"/>
          <w:color w:val="000000" w:themeColor="text1"/>
          <w:sz w:val="20"/>
          <w:szCs w:val="20"/>
        </w:rPr>
        <w:t xml:space="preserve">neutralität zu erreichen. Die NTT-Gruppe trägt zu dem Ziel der japanischen Regierung bei, die Treibhausgasemissionen bis 2030 um 46 % gegenüber dem GJ 2013 zu reduzieren und durch die Einführung von NTTs Technologien in die Gesellschaft bis 2050 </w:t>
      </w:r>
      <w:r w:rsidR="00FA2866" w:rsidRPr="00EF37B1">
        <w:rPr>
          <w:rFonts w:ascii="Arial" w:eastAsia="Meiryo UI" w:hAnsi="Arial" w:cs="Arial"/>
          <w:snapToGrid w:val="0"/>
          <w:color w:val="000000" w:themeColor="text1"/>
          <w:sz w:val="20"/>
          <w:szCs w:val="20"/>
        </w:rPr>
        <w:t>Klima</w:t>
      </w:r>
      <w:r w:rsidRPr="00EF37B1">
        <w:rPr>
          <w:rFonts w:ascii="Arial" w:eastAsia="Meiryo UI" w:hAnsi="Arial" w:cs="Arial"/>
          <w:snapToGrid w:val="0"/>
          <w:color w:val="000000" w:themeColor="text1"/>
          <w:sz w:val="20"/>
          <w:szCs w:val="20"/>
        </w:rPr>
        <w:t>neutralität zu erreichen.</w:t>
      </w:r>
    </w:p>
    <w:p w14:paraId="2B35C108" w14:textId="77777777" w:rsidR="00876290" w:rsidRPr="00EF37B1" w:rsidRDefault="00876290" w:rsidP="00EF37B1">
      <w:pPr>
        <w:widowControl w:val="0"/>
        <w:jc w:val="both"/>
        <w:rPr>
          <w:rFonts w:ascii="Arial" w:eastAsia="Meiryo UI" w:hAnsi="Arial" w:cs="Arial"/>
          <w:snapToGrid w:val="0"/>
          <w:color w:val="000000" w:themeColor="text1"/>
          <w:sz w:val="20"/>
          <w:szCs w:val="20"/>
        </w:rPr>
      </w:pPr>
    </w:p>
    <w:p w14:paraId="3899C359" w14:textId="597565E7" w:rsidR="00F74C6A" w:rsidRPr="00EF37B1" w:rsidRDefault="00876290" w:rsidP="00EF37B1">
      <w:pPr>
        <w:rPr>
          <w:rFonts w:ascii="Arial" w:eastAsia="Meiryo UI" w:hAnsi="Arial" w:cs="Arial"/>
          <w:b/>
          <w:snapToGrid w:val="0"/>
          <w:color w:val="000000" w:themeColor="text1"/>
          <w:sz w:val="20"/>
          <w:szCs w:val="20"/>
        </w:rPr>
      </w:pPr>
      <w:r w:rsidRPr="00EF37B1">
        <w:rPr>
          <w:rFonts w:ascii="Arial" w:eastAsia="Meiryo UI" w:hAnsi="Arial" w:cs="Arial"/>
          <w:b/>
          <w:snapToGrid w:val="0"/>
          <w:color w:val="000000" w:themeColor="text1"/>
          <w:sz w:val="20"/>
          <w:szCs w:val="20"/>
        </w:rPr>
        <w:t xml:space="preserve">Über </w:t>
      </w:r>
      <w:r w:rsidR="000A3FD1" w:rsidRPr="00EF37B1">
        <w:rPr>
          <w:rFonts w:ascii="Arial" w:eastAsia="Meiryo UI" w:hAnsi="Arial" w:cs="Arial"/>
          <w:b/>
          <w:snapToGrid w:val="0"/>
          <w:color w:val="000000" w:themeColor="text1"/>
          <w:sz w:val="20"/>
          <w:szCs w:val="20"/>
        </w:rPr>
        <w:t>Green Software Foundation</w:t>
      </w:r>
    </w:p>
    <w:p w14:paraId="7DE810E9" w14:textId="00E73D9A" w:rsidR="00F74C6A" w:rsidRPr="00EF37B1" w:rsidRDefault="009E100E" w:rsidP="00EF37B1">
      <w:pPr>
        <w:rPr>
          <w:rFonts w:ascii="Arial" w:eastAsia="Meiryo UI" w:hAnsi="Arial" w:cs="Arial"/>
          <w:snapToGrid w:val="0"/>
          <w:color w:val="000000" w:themeColor="text1"/>
          <w:sz w:val="20"/>
          <w:szCs w:val="20"/>
        </w:rPr>
      </w:pPr>
      <w:r w:rsidRPr="00EF37B1">
        <w:rPr>
          <w:rFonts w:ascii="Arial" w:eastAsia="Meiryo UI" w:hAnsi="Arial" w:cs="Arial"/>
          <w:snapToGrid w:val="0"/>
          <w:color w:val="000000" w:themeColor="text1"/>
          <w:sz w:val="20"/>
          <w:szCs w:val="20"/>
        </w:rPr>
        <w:t xml:space="preserve">Die </w:t>
      </w:r>
      <w:hyperlink r:id="rId10" w:history="1">
        <w:r w:rsidRPr="00EF37B1">
          <w:rPr>
            <w:rStyle w:val="Hyperlink"/>
            <w:rFonts w:ascii="Arial" w:hAnsi="Arial" w:cs="Arial"/>
            <w:sz w:val="20"/>
            <w:szCs w:val="20"/>
          </w:rPr>
          <w:t>Green Software Foundation</w:t>
        </w:r>
      </w:hyperlink>
      <w:r w:rsidRPr="00EF37B1">
        <w:rPr>
          <w:rFonts w:ascii="Arial" w:eastAsia="Meiryo UI" w:hAnsi="Arial" w:cs="Arial"/>
          <w:snapToGrid w:val="0"/>
          <w:color w:val="000000" w:themeColor="text1"/>
          <w:sz w:val="20"/>
          <w:szCs w:val="20"/>
        </w:rPr>
        <w:t xml:space="preserve"> ist eine gemeinnützige Organisation, </w:t>
      </w:r>
      <w:r w:rsidR="008B6353" w:rsidRPr="00EF37B1">
        <w:rPr>
          <w:rFonts w:ascii="Arial" w:eastAsia="Meiryo UI" w:hAnsi="Arial" w:cs="Arial"/>
          <w:snapToGrid w:val="0"/>
          <w:color w:val="000000" w:themeColor="text1"/>
          <w:sz w:val="20"/>
          <w:szCs w:val="20"/>
        </w:rPr>
        <w:t xml:space="preserve">die </w:t>
      </w:r>
      <w:r w:rsidRPr="00EF37B1">
        <w:rPr>
          <w:rFonts w:ascii="Arial" w:eastAsia="Meiryo UI" w:hAnsi="Arial" w:cs="Arial"/>
          <w:snapToGrid w:val="0"/>
          <w:color w:val="000000" w:themeColor="text1"/>
          <w:sz w:val="20"/>
          <w:szCs w:val="20"/>
        </w:rPr>
        <w:t>im Mai 2021 von der Linux Foundation in Zusammenarbeit mit vier Unternehmen gegründet wurde</w:t>
      </w:r>
      <w:r w:rsidR="004D5F09" w:rsidRPr="00EF37B1">
        <w:rPr>
          <w:rFonts w:ascii="Arial" w:eastAsia="Meiryo UI" w:hAnsi="Arial" w:cs="Arial"/>
          <w:snapToGrid w:val="0"/>
          <w:color w:val="000000" w:themeColor="text1"/>
          <w:sz w:val="20"/>
          <w:szCs w:val="20"/>
        </w:rPr>
        <w:t xml:space="preserve"> und von Accenture, </w:t>
      </w:r>
      <w:proofErr w:type="spellStart"/>
      <w:r w:rsidR="004D5F09" w:rsidRPr="00EF37B1">
        <w:rPr>
          <w:rFonts w:ascii="Arial" w:eastAsia="Meiryo UI" w:hAnsi="Arial" w:cs="Arial"/>
          <w:snapToGrid w:val="0"/>
          <w:color w:val="000000" w:themeColor="text1"/>
          <w:sz w:val="20"/>
          <w:szCs w:val="20"/>
        </w:rPr>
        <w:t>GitHub</w:t>
      </w:r>
      <w:proofErr w:type="spellEnd"/>
      <w:r w:rsidR="004D5F09" w:rsidRPr="00EF37B1">
        <w:rPr>
          <w:rFonts w:ascii="Arial" w:eastAsia="Meiryo UI" w:hAnsi="Arial" w:cs="Arial"/>
          <w:snapToGrid w:val="0"/>
          <w:color w:val="000000" w:themeColor="text1"/>
          <w:sz w:val="20"/>
          <w:szCs w:val="20"/>
        </w:rPr>
        <w:t xml:space="preserve">, </w:t>
      </w:r>
      <w:proofErr w:type="spellStart"/>
      <w:r w:rsidR="004D5F09" w:rsidRPr="00EF37B1">
        <w:rPr>
          <w:rFonts w:ascii="Arial" w:eastAsia="Meiryo UI" w:hAnsi="Arial" w:cs="Arial"/>
          <w:snapToGrid w:val="0"/>
          <w:color w:val="000000" w:themeColor="text1"/>
          <w:sz w:val="20"/>
          <w:szCs w:val="20"/>
        </w:rPr>
        <w:t>Globant</w:t>
      </w:r>
      <w:proofErr w:type="spellEnd"/>
      <w:r w:rsidR="004D5F09" w:rsidRPr="00EF37B1">
        <w:rPr>
          <w:rFonts w:ascii="Arial" w:eastAsia="Meiryo UI" w:hAnsi="Arial" w:cs="Arial"/>
          <w:snapToGrid w:val="0"/>
          <w:color w:val="000000" w:themeColor="text1"/>
          <w:sz w:val="20"/>
          <w:szCs w:val="20"/>
        </w:rPr>
        <w:t xml:space="preserve">, Microsoft, </w:t>
      </w:r>
      <w:proofErr w:type="spellStart"/>
      <w:r w:rsidR="004D5F09" w:rsidRPr="00EF37B1">
        <w:rPr>
          <w:rFonts w:ascii="Arial" w:eastAsia="Meiryo UI" w:hAnsi="Arial" w:cs="Arial"/>
          <w:snapToGrid w:val="0"/>
          <w:color w:val="000000" w:themeColor="text1"/>
          <w:sz w:val="20"/>
          <w:szCs w:val="20"/>
        </w:rPr>
        <w:t>Thoughtworks</w:t>
      </w:r>
      <w:proofErr w:type="spellEnd"/>
      <w:r w:rsidR="004D5F09" w:rsidRPr="00EF37B1">
        <w:rPr>
          <w:rFonts w:ascii="Arial" w:eastAsia="Meiryo UI" w:hAnsi="Arial" w:cs="Arial"/>
          <w:snapToGrid w:val="0"/>
          <w:color w:val="000000" w:themeColor="text1"/>
          <w:sz w:val="20"/>
          <w:szCs w:val="20"/>
        </w:rPr>
        <w:t xml:space="preserve"> sowie NTT DATA geleitet wird. Die </w:t>
      </w:r>
      <w:r w:rsidRPr="00EF37B1">
        <w:rPr>
          <w:rFonts w:ascii="Arial" w:eastAsia="Meiryo UI" w:hAnsi="Arial" w:cs="Arial"/>
          <w:snapToGrid w:val="0"/>
          <w:color w:val="000000" w:themeColor="text1"/>
          <w:sz w:val="20"/>
          <w:szCs w:val="20"/>
        </w:rPr>
        <w:t>Organisation hat sich zum Ziel gesetzt, die Treibhausgasemissionen in der IKT-Branche bis 2030 um 45 % zu reduzieren</w:t>
      </w:r>
      <w:r w:rsidR="00175EF5" w:rsidRPr="00EF37B1">
        <w:rPr>
          <w:rFonts w:ascii="Arial" w:eastAsia="Meiryo UI" w:hAnsi="Arial" w:cs="Arial"/>
          <w:snapToGrid w:val="0"/>
          <w:color w:val="000000" w:themeColor="text1"/>
          <w:sz w:val="20"/>
          <w:szCs w:val="20"/>
        </w:rPr>
        <w:t xml:space="preserve">. Sie </w:t>
      </w:r>
      <w:r w:rsidRPr="00EF37B1">
        <w:rPr>
          <w:rFonts w:ascii="Arial" w:eastAsia="Meiryo UI" w:hAnsi="Arial" w:cs="Arial"/>
          <w:snapToGrid w:val="0"/>
          <w:color w:val="000000" w:themeColor="text1"/>
          <w:sz w:val="20"/>
          <w:szCs w:val="20"/>
        </w:rPr>
        <w:t>arbeitet daran</w:t>
      </w:r>
      <w:r w:rsidR="0015694F" w:rsidRPr="00EF37B1">
        <w:rPr>
          <w:rFonts w:ascii="Arial" w:eastAsia="Meiryo UI" w:hAnsi="Arial" w:cs="Arial"/>
          <w:snapToGrid w:val="0"/>
          <w:color w:val="000000" w:themeColor="text1"/>
          <w:sz w:val="20"/>
          <w:szCs w:val="20"/>
        </w:rPr>
        <w:t>,</w:t>
      </w:r>
      <w:r w:rsidRPr="00EF37B1">
        <w:rPr>
          <w:rFonts w:ascii="Arial" w:eastAsia="Meiryo UI" w:hAnsi="Arial" w:cs="Arial"/>
          <w:snapToGrid w:val="0"/>
          <w:color w:val="000000" w:themeColor="text1"/>
          <w:sz w:val="20"/>
          <w:szCs w:val="20"/>
        </w:rPr>
        <w:t xml:space="preserve"> Entwicklungsstandards und Best Practices für Entwicklungswerkzeuge festzulegen</w:t>
      </w:r>
      <w:r w:rsidR="00077FAE" w:rsidRPr="00EF37B1">
        <w:rPr>
          <w:rFonts w:ascii="Arial" w:eastAsia="Meiryo UI" w:hAnsi="Arial" w:cs="Arial"/>
          <w:snapToGrid w:val="0"/>
          <w:color w:val="000000" w:themeColor="text1"/>
          <w:sz w:val="20"/>
          <w:szCs w:val="20"/>
        </w:rPr>
        <w:t xml:space="preserve"> </w:t>
      </w:r>
      <w:r w:rsidRPr="00EF37B1">
        <w:rPr>
          <w:rFonts w:ascii="Arial" w:eastAsia="Meiryo UI" w:hAnsi="Arial" w:cs="Arial"/>
          <w:snapToGrid w:val="0"/>
          <w:color w:val="000000" w:themeColor="text1"/>
          <w:sz w:val="20"/>
          <w:szCs w:val="20"/>
        </w:rPr>
        <w:t>und diese Standards in der Branche zu verbreiten.</w:t>
      </w:r>
    </w:p>
    <w:p w14:paraId="70981FB0" w14:textId="6361FDA4" w:rsidR="00DB266E" w:rsidRDefault="00DB266E" w:rsidP="005E1D39">
      <w:pPr>
        <w:rPr>
          <w:rFonts w:ascii="Arial" w:eastAsia="DengXian" w:hAnsi="Arial" w:cs="Arial"/>
          <w:sz w:val="20"/>
          <w:szCs w:val="20"/>
        </w:rPr>
      </w:pPr>
    </w:p>
    <w:p w14:paraId="414C6CD2" w14:textId="77777777" w:rsidR="00EF37B1" w:rsidRPr="00EF37B1" w:rsidRDefault="00EF37B1" w:rsidP="005E1D39">
      <w:pPr>
        <w:rPr>
          <w:rFonts w:ascii="Arial" w:eastAsia="DengXian" w:hAnsi="Arial" w:cs="Arial"/>
          <w:sz w:val="20"/>
          <w:szCs w:val="20"/>
        </w:rPr>
      </w:pPr>
    </w:p>
    <w:p w14:paraId="487008F5" w14:textId="77777777" w:rsidR="00175EF5" w:rsidRPr="00EF37B1" w:rsidRDefault="00175EF5" w:rsidP="00175EF5">
      <w:pPr>
        <w:rPr>
          <w:rFonts w:ascii="Arial" w:eastAsia="DengXian" w:hAnsi="Arial" w:cs="Arial"/>
          <w:b/>
          <w:bCs/>
          <w:sz w:val="20"/>
          <w:szCs w:val="20"/>
        </w:rPr>
      </w:pPr>
      <w:r w:rsidRPr="00EF37B1">
        <w:rPr>
          <w:rFonts w:ascii="Arial" w:eastAsia="DengXian" w:hAnsi="Arial" w:cs="Arial"/>
          <w:b/>
          <w:bCs/>
          <w:sz w:val="20"/>
          <w:szCs w:val="20"/>
        </w:rPr>
        <w:t>Über NTT DATA</w:t>
      </w:r>
    </w:p>
    <w:p w14:paraId="667AFBFB" w14:textId="6A9FBBA2" w:rsidR="00175EF5" w:rsidRPr="00EF37B1" w:rsidRDefault="00175EF5" w:rsidP="00175EF5">
      <w:pPr>
        <w:rPr>
          <w:rFonts w:ascii="Arial" w:eastAsia="DengXian" w:hAnsi="Arial" w:cs="Arial"/>
          <w:sz w:val="20"/>
          <w:szCs w:val="20"/>
        </w:rPr>
      </w:pPr>
      <w:r w:rsidRPr="00EF37B1">
        <w:rPr>
          <w:rFonts w:ascii="Arial" w:eastAsia="DengXian" w:hAnsi="Arial" w:cs="Arial"/>
          <w:sz w:val="20"/>
          <w:szCs w:val="20"/>
        </w:rPr>
        <w:t xml:space="preserve">NTT DATA – ein Teil der NTT Group – ist Trusted Global Innovator von Business- und IT-Lösungen mit Hauptsitz in Tokio. Wir unterstützen unsere Kunden bei ihrer Transformation durch Consulting, Branchenlösungen, Business Process Services, Digital- und IT-Modernisierung und Managed Services. Mit NTT DATA können Kunden und die Gesellschaft selbstbewusst in die digitale Zukunft gehen. Wir setzen uns für den langfristigen Erfolg unserer Kunden ein und kombinieren globale Präsenz mit lokaler Kundenbetreuung in über 50 Ländern. Weitere Informationen finden Sie unter </w:t>
      </w:r>
      <w:hyperlink r:id="rId11" w:history="1">
        <w:r w:rsidR="000451A3" w:rsidRPr="000451A3">
          <w:rPr>
            <w:rStyle w:val="Hyperlink"/>
            <w:rFonts w:ascii="Arial" w:eastAsia="DengXian" w:hAnsi="Arial" w:cs="Arial"/>
            <w:sz w:val="20"/>
            <w:szCs w:val="20"/>
          </w:rPr>
          <w:t>nttdata.com</w:t>
        </w:r>
      </w:hyperlink>
      <w:r w:rsidRPr="00EF37B1">
        <w:rPr>
          <w:rFonts w:ascii="Arial" w:eastAsia="DengXian" w:hAnsi="Arial" w:cs="Arial"/>
          <w:sz w:val="20"/>
          <w:szCs w:val="20"/>
        </w:rPr>
        <w:t>.</w:t>
      </w:r>
    </w:p>
    <w:p w14:paraId="1721C831" w14:textId="5C43DC53" w:rsidR="00175EF5" w:rsidRDefault="00175EF5" w:rsidP="00175EF5">
      <w:pPr>
        <w:rPr>
          <w:rFonts w:ascii="Arial" w:eastAsia="DengXian" w:hAnsi="Arial" w:cs="Arial"/>
          <w:sz w:val="20"/>
          <w:szCs w:val="20"/>
        </w:rPr>
      </w:pPr>
    </w:p>
    <w:p w14:paraId="32683911" w14:textId="77777777" w:rsidR="00EF37B1" w:rsidRPr="00EF37B1" w:rsidRDefault="00EF37B1" w:rsidP="00175EF5">
      <w:pPr>
        <w:rPr>
          <w:rFonts w:ascii="Arial" w:eastAsia="DengXian" w:hAnsi="Arial" w:cs="Arial"/>
          <w:sz w:val="20"/>
          <w:szCs w:val="20"/>
        </w:rPr>
      </w:pPr>
    </w:p>
    <w:p w14:paraId="0609CAE2" w14:textId="77777777" w:rsidR="00175EF5" w:rsidRPr="00EF37B1" w:rsidRDefault="00175EF5" w:rsidP="00175EF5">
      <w:pPr>
        <w:rPr>
          <w:rFonts w:ascii="Arial" w:eastAsia="DengXian" w:hAnsi="Arial" w:cs="Arial"/>
          <w:b/>
          <w:bCs/>
          <w:sz w:val="20"/>
          <w:szCs w:val="20"/>
        </w:rPr>
      </w:pPr>
      <w:r w:rsidRPr="00EF37B1">
        <w:rPr>
          <w:rFonts w:ascii="Arial" w:eastAsia="DengXian" w:hAnsi="Arial" w:cs="Arial"/>
          <w:b/>
          <w:bCs/>
          <w:sz w:val="20"/>
          <w:szCs w:val="20"/>
        </w:rPr>
        <w:t>Pressekontakt für Deutschland, Österreich und Schweiz:</w:t>
      </w:r>
    </w:p>
    <w:p w14:paraId="40B8F3BA" w14:textId="77777777" w:rsidR="00175EF5" w:rsidRPr="00EF37B1" w:rsidRDefault="00175EF5" w:rsidP="00175EF5">
      <w:pPr>
        <w:rPr>
          <w:rFonts w:ascii="Arial" w:eastAsia="DengXian" w:hAnsi="Arial" w:cs="Arial"/>
          <w:sz w:val="20"/>
          <w:szCs w:val="20"/>
        </w:rPr>
      </w:pPr>
    </w:p>
    <w:p w14:paraId="126B062F" w14:textId="77777777" w:rsidR="00175EF5" w:rsidRPr="00EF37B1" w:rsidRDefault="00175EF5" w:rsidP="00175EF5">
      <w:pPr>
        <w:rPr>
          <w:rFonts w:ascii="Arial" w:eastAsia="DengXian" w:hAnsi="Arial" w:cs="Arial"/>
          <w:sz w:val="20"/>
          <w:szCs w:val="20"/>
        </w:rPr>
      </w:pPr>
      <w:r w:rsidRPr="00EF37B1">
        <w:rPr>
          <w:rFonts w:ascii="Arial" w:eastAsia="DengXian" w:hAnsi="Arial" w:cs="Arial"/>
          <w:sz w:val="20"/>
          <w:szCs w:val="20"/>
        </w:rPr>
        <w:t>NTT DATA DACH</w:t>
      </w:r>
    </w:p>
    <w:p w14:paraId="2ED8E3DC" w14:textId="77777777" w:rsidR="00175EF5" w:rsidRPr="00EF37B1" w:rsidRDefault="00175EF5" w:rsidP="00175EF5">
      <w:pPr>
        <w:rPr>
          <w:rFonts w:ascii="Arial" w:eastAsia="DengXian" w:hAnsi="Arial" w:cs="Arial"/>
          <w:sz w:val="20"/>
          <w:szCs w:val="20"/>
        </w:rPr>
      </w:pPr>
      <w:r w:rsidRPr="00EF37B1">
        <w:rPr>
          <w:rFonts w:ascii="Arial" w:eastAsia="DengXian" w:hAnsi="Arial" w:cs="Arial"/>
          <w:sz w:val="20"/>
          <w:szCs w:val="20"/>
        </w:rPr>
        <w:t>Cornelia Spitzer, BA</w:t>
      </w:r>
    </w:p>
    <w:p w14:paraId="51AA3DE5" w14:textId="77777777" w:rsidR="00175EF5" w:rsidRPr="00EF37B1" w:rsidRDefault="00175EF5" w:rsidP="00175EF5">
      <w:pPr>
        <w:rPr>
          <w:rFonts w:ascii="Arial" w:eastAsia="DengXian" w:hAnsi="Arial" w:cs="Arial"/>
          <w:sz w:val="20"/>
          <w:szCs w:val="20"/>
        </w:rPr>
      </w:pPr>
      <w:r w:rsidRPr="00EF37B1">
        <w:rPr>
          <w:rFonts w:ascii="Arial" w:eastAsia="DengXian" w:hAnsi="Arial" w:cs="Arial"/>
          <w:sz w:val="20"/>
          <w:szCs w:val="20"/>
        </w:rPr>
        <w:t xml:space="preserve">Press Manager DACH </w:t>
      </w:r>
    </w:p>
    <w:p w14:paraId="0B156544" w14:textId="77777777" w:rsidR="00175EF5" w:rsidRPr="00EF37B1" w:rsidRDefault="00175EF5" w:rsidP="00175EF5">
      <w:pPr>
        <w:rPr>
          <w:rFonts w:ascii="Arial" w:eastAsia="DengXian" w:hAnsi="Arial" w:cs="Arial"/>
          <w:sz w:val="20"/>
          <w:szCs w:val="20"/>
        </w:rPr>
      </w:pPr>
      <w:r w:rsidRPr="00EF37B1">
        <w:rPr>
          <w:rFonts w:ascii="Arial" w:eastAsia="DengXian" w:hAnsi="Arial" w:cs="Arial"/>
          <w:sz w:val="20"/>
          <w:szCs w:val="20"/>
        </w:rPr>
        <w:t>Tel.: +43 664 8847 8903</w:t>
      </w:r>
    </w:p>
    <w:p w14:paraId="4EDAAAD5" w14:textId="5F4D0565" w:rsidR="00175EF5" w:rsidRPr="00EF37B1" w:rsidRDefault="00175EF5" w:rsidP="00175EF5">
      <w:pPr>
        <w:rPr>
          <w:rFonts w:ascii="Arial" w:eastAsia="DengXian" w:hAnsi="Arial" w:cs="Arial"/>
          <w:sz w:val="20"/>
          <w:szCs w:val="20"/>
        </w:rPr>
      </w:pPr>
      <w:r w:rsidRPr="00EF37B1">
        <w:rPr>
          <w:rFonts w:ascii="Arial" w:eastAsia="DengXian" w:hAnsi="Arial" w:cs="Arial"/>
          <w:sz w:val="20"/>
          <w:szCs w:val="20"/>
        </w:rPr>
        <w:t xml:space="preserve">E-Mail: </w:t>
      </w:r>
      <w:hyperlink r:id="rId12" w:history="1">
        <w:r w:rsidR="00EF37B1" w:rsidRPr="00EF37B1">
          <w:rPr>
            <w:rStyle w:val="Hyperlink"/>
            <w:rFonts w:ascii="Arial" w:eastAsia="DengXian" w:hAnsi="Arial" w:cs="Arial"/>
            <w:sz w:val="20"/>
            <w:szCs w:val="20"/>
          </w:rPr>
          <w:t>cornelia.spitzer@nttdata.com</w:t>
        </w:r>
      </w:hyperlink>
    </w:p>
    <w:p w14:paraId="50662E64" w14:textId="77777777" w:rsidR="00175EF5" w:rsidRPr="00EF37B1" w:rsidRDefault="00175EF5" w:rsidP="00175EF5">
      <w:pPr>
        <w:rPr>
          <w:rFonts w:ascii="Arial" w:eastAsia="DengXian" w:hAnsi="Arial" w:cs="Arial"/>
          <w:sz w:val="20"/>
          <w:szCs w:val="20"/>
        </w:rPr>
      </w:pPr>
    </w:p>
    <w:p w14:paraId="7B0EA018" w14:textId="77777777" w:rsidR="00175EF5" w:rsidRPr="00EF37B1" w:rsidRDefault="00175EF5" w:rsidP="00175EF5">
      <w:pPr>
        <w:rPr>
          <w:rFonts w:ascii="Arial" w:eastAsia="DengXian" w:hAnsi="Arial" w:cs="Arial"/>
          <w:sz w:val="20"/>
          <w:szCs w:val="20"/>
        </w:rPr>
      </w:pPr>
      <w:r w:rsidRPr="00EF37B1">
        <w:rPr>
          <w:rFonts w:ascii="Arial" w:eastAsia="DengXian" w:hAnsi="Arial" w:cs="Arial"/>
          <w:sz w:val="20"/>
          <w:szCs w:val="20"/>
        </w:rPr>
        <w:t>Storymaker Agentur für Public Relations GmbH</w:t>
      </w:r>
    </w:p>
    <w:p w14:paraId="7B20BCE4" w14:textId="77777777" w:rsidR="00175EF5" w:rsidRPr="00EF37B1" w:rsidRDefault="00175EF5" w:rsidP="00175EF5">
      <w:pPr>
        <w:rPr>
          <w:rFonts w:ascii="Arial" w:eastAsia="DengXian" w:hAnsi="Arial" w:cs="Arial"/>
          <w:sz w:val="20"/>
          <w:szCs w:val="20"/>
        </w:rPr>
      </w:pPr>
      <w:r w:rsidRPr="00EF37B1">
        <w:rPr>
          <w:rFonts w:ascii="Arial" w:eastAsia="DengXian" w:hAnsi="Arial" w:cs="Arial"/>
          <w:sz w:val="20"/>
          <w:szCs w:val="20"/>
        </w:rPr>
        <w:t>Gabriela Ölschläger</w:t>
      </w:r>
    </w:p>
    <w:p w14:paraId="31FB608E" w14:textId="77777777" w:rsidR="00175EF5" w:rsidRPr="00EF37B1" w:rsidRDefault="00175EF5" w:rsidP="00175EF5">
      <w:pPr>
        <w:rPr>
          <w:rFonts w:ascii="Arial" w:eastAsia="DengXian" w:hAnsi="Arial" w:cs="Arial"/>
          <w:sz w:val="20"/>
          <w:szCs w:val="20"/>
          <w:lang w:val="en-US"/>
        </w:rPr>
      </w:pPr>
      <w:r w:rsidRPr="00EF37B1">
        <w:rPr>
          <w:rFonts w:ascii="Arial" w:eastAsia="DengXian" w:hAnsi="Arial" w:cs="Arial"/>
          <w:sz w:val="20"/>
          <w:szCs w:val="20"/>
          <w:lang w:val="en-US"/>
        </w:rPr>
        <w:t>Senior Consultant</w:t>
      </w:r>
    </w:p>
    <w:p w14:paraId="13B3E674" w14:textId="77777777" w:rsidR="00175EF5" w:rsidRPr="00EF37B1" w:rsidRDefault="00175EF5" w:rsidP="00175EF5">
      <w:pPr>
        <w:rPr>
          <w:rFonts w:ascii="Arial" w:eastAsia="DengXian" w:hAnsi="Arial" w:cs="Arial"/>
          <w:sz w:val="20"/>
          <w:szCs w:val="20"/>
          <w:lang w:val="en-US"/>
        </w:rPr>
      </w:pPr>
      <w:r w:rsidRPr="00EF37B1">
        <w:rPr>
          <w:rFonts w:ascii="Arial" w:eastAsia="DengXian" w:hAnsi="Arial" w:cs="Arial"/>
          <w:sz w:val="20"/>
          <w:szCs w:val="20"/>
          <w:lang w:val="en-US"/>
        </w:rPr>
        <w:t>Tel.: +49 7071 93872 217</w:t>
      </w:r>
    </w:p>
    <w:p w14:paraId="28806CC6" w14:textId="6DC1D050" w:rsidR="00D35710" w:rsidRPr="00EF37B1" w:rsidRDefault="00175EF5" w:rsidP="00175EF5">
      <w:pPr>
        <w:rPr>
          <w:rFonts w:ascii="Arial" w:eastAsia="DengXian" w:hAnsi="Arial" w:cs="Arial"/>
          <w:sz w:val="20"/>
          <w:szCs w:val="20"/>
          <w:lang w:val="de-AT"/>
        </w:rPr>
      </w:pPr>
      <w:r w:rsidRPr="00EF37B1">
        <w:rPr>
          <w:rFonts w:ascii="Arial" w:eastAsia="DengXian" w:hAnsi="Arial" w:cs="Arial"/>
          <w:sz w:val="20"/>
          <w:szCs w:val="20"/>
          <w:lang w:val="de-AT"/>
        </w:rPr>
        <w:t xml:space="preserve">E-Mail: </w:t>
      </w:r>
      <w:hyperlink r:id="rId13" w:history="1">
        <w:r w:rsidRPr="00EF37B1">
          <w:rPr>
            <w:rStyle w:val="Hyperlink"/>
            <w:rFonts w:ascii="Arial" w:eastAsia="DengXian" w:hAnsi="Arial" w:cs="Arial"/>
            <w:sz w:val="20"/>
            <w:szCs w:val="20"/>
            <w:lang w:val="de-AT"/>
          </w:rPr>
          <w:t>g.oelschlaeger@storymaker.de</w:t>
        </w:r>
      </w:hyperlink>
    </w:p>
    <w:sectPr w:rsidR="00D35710" w:rsidRPr="00EF37B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34C36" w14:textId="77777777" w:rsidR="00963DFE" w:rsidRDefault="00963DFE" w:rsidP="00845677">
      <w:r>
        <w:separator/>
      </w:r>
    </w:p>
  </w:endnote>
  <w:endnote w:type="continuationSeparator" w:id="0">
    <w:p w14:paraId="7458DB98" w14:textId="77777777" w:rsidR="00963DFE" w:rsidRDefault="00963DFE"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eiryo UI">
    <w:altName w:val="MS UI Gothic"/>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7A53" w14:textId="77777777" w:rsidR="00963DFE" w:rsidRDefault="00963DFE" w:rsidP="00845677">
      <w:r>
        <w:separator/>
      </w:r>
    </w:p>
  </w:footnote>
  <w:footnote w:type="continuationSeparator" w:id="0">
    <w:p w14:paraId="2761D0AC" w14:textId="77777777" w:rsidR="00963DFE" w:rsidRDefault="00963DFE"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8061" w14:textId="77777777" w:rsidR="00F74C6A" w:rsidRDefault="009E100E">
    <w:pPr>
      <w:pStyle w:val="Kopfzeile"/>
      <w:jc w:val="right"/>
      <w:rPr>
        <w:rFonts w:eastAsia="DengXian"/>
      </w:rPr>
    </w:pPr>
    <w:r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3208382E" wp14:editId="7564BF34">
              <wp:simplePos x="0" y="0"/>
              <wp:positionH relativeFrom="column">
                <wp:posOffset>-15875</wp:posOffset>
              </wp:positionH>
              <wp:positionV relativeFrom="paragraph">
                <wp:posOffset>-236220</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56E26900" w14:textId="77777777" w:rsidR="00F74C6A" w:rsidRDefault="009E100E">
                          <w:pPr>
                            <w:rPr>
                              <w:rFonts w:ascii="Arial" w:hAnsi="Arial" w:cs="Arial"/>
                              <w:sz w:val="48"/>
                            </w:rPr>
                          </w:pPr>
                          <w:r w:rsidRPr="00E33A80">
                            <w:rPr>
                              <w:rFonts w:ascii="Arial" w:hAnsi="Arial" w:cs="Arial"/>
                              <w:sz w:val="48"/>
                            </w:rPr>
                            <w:t>Presseinformation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1.25pt;margin-top:-18.6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" stroked="f">
              <v:textbox>
                <w:txbxContent>
                  <w:p w14:paraId="56E26900" w14:textId="77777777" w:rsidR="00F74C6A" w:rsidRDefault="009E100E">
                    <w:pPr>
                      <w:rPr>
                        <w:rFonts w:ascii="Arial" w:hAnsi="Arial" w:cs="Arial"/>
                        <w:sz w:val="48"/>
                      </w:rPr>
                    </w:pPr>
                    <w:r w:rsidRPr="00E33A80">
                      <w:rPr>
                        <w:rFonts w:ascii="Arial" w:hAnsi="Arial" w:cs="Arial"/>
                        <w:sz w:val="48"/>
                      </w:rPr>
                      <w:t>Presseinformation</w:t>
                    </w:r>
                  </w:p>
                </w:txbxContent>
              </v:textbox>
              <w10:wrap type="square"/>
            </v:shape>
          </w:pict>
        </mc:Fallback>
      </mc:AlternateContent>
    </w:r>
    <w:r w:rsidR="00C72A43">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97.45pt;margin-top:-59.5pt;width:172.8pt;height:59.5pt;z-index:251661312;mso-position-horizontal-relative:margin;mso-position-vertical-relative:margin">
          <v:imagedata r:id="rId1" o:title="CorporateLogo+Tagline_Right_HumanBlue"/>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E4072"/>
    <w:multiLevelType w:val="hybridMultilevel"/>
    <w:tmpl w:val="446EC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17722"/>
    <w:rsid w:val="0002570A"/>
    <w:rsid w:val="00027DFE"/>
    <w:rsid w:val="00045132"/>
    <w:rsid w:val="000451A3"/>
    <w:rsid w:val="00053957"/>
    <w:rsid w:val="00060313"/>
    <w:rsid w:val="00077FAE"/>
    <w:rsid w:val="000804CE"/>
    <w:rsid w:val="00083D1D"/>
    <w:rsid w:val="000A3FD1"/>
    <w:rsid w:val="000A484B"/>
    <w:rsid w:val="000F2843"/>
    <w:rsid w:val="00106C2C"/>
    <w:rsid w:val="00132C8D"/>
    <w:rsid w:val="0015694F"/>
    <w:rsid w:val="00170CFE"/>
    <w:rsid w:val="00175EF5"/>
    <w:rsid w:val="00187DD1"/>
    <w:rsid w:val="00195F33"/>
    <w:rsid w:val="001B6BCC"/>
    <w:rsid w:val="001C35E3"/>
    <w:rsid w:val="001D26BF"/>
    <w:rsid w:val="001D72F5"/>
    <w:rsid w:val="001F58CB"/>
    <w:rsid w:val="001F7DD6"/>
    <w:rsid w:val="0020210A"/>
    <w:rsid w:val="00207E47"/>
    <w:rsid w:val="00210FFD"/>
    <w:rsid w:val="00222328"/>
    <w:rsid w:val="00263A49"/>
    <w:rsid w:val="0026780F"/>
    <w:rsid w:val="00275ED7"/>
    <w:rsid w:val="00285D88"/>
    <w:rsid w:val="002C599C"/>
    <w:rsid w:val="002C5A8D"/>
    <w:rsid w:val="00304F73"/>
    <w:rsid w:val="00324127"/>
    <w:rsid w:val="00346FF1"/>
    <w:rsid w:val="00367B23"/>
    <w:rsid w:val="00385F71"/>
    <w:rsid w:val="00392DEB"/>
    <w:rsid w:val="003B27ED"/>
    <w:rsid w:val="003B6F7A"/>
    <w:rsid w:val="003C7C02"/>
    <w:rsid w:val="003D1278"/>
    <w:rsid w:val="003E0D86"/>
    <w:rsid w:val="003E18F3"/>
    <w:rsid w:val="003E29BB"/>
    <w:rsid w:val="003E3869"/>
    <w:rsid w:val="003F0E8F"/>
    <w:rsid w:val="00491448"/>
    <w:rsid w:val="0049606E"/>
    <w:rsid w:val="004B7505"/>
    <w:rsid w:val="004D1986"/>
    <w:rsid w:val="004D5F09"/>
    <w:rsid w:val="00541A79"/>
    <w:rsid w:val="0055763B"/>
    <w:rsid w:val="00577784"/>
    <w:rsid w:val="0058106B"/>
    <w:rsid w:val="00594539"/>
    <w:rsid w:val="0059583D"/>
    <w:rsid w:val="005B72C5"/>
    <w:rsid w:val="005E1394"/>
    <w:rsid w:val="005E1D39"/>
    <w:rsid w:val="005E3652"/>
    <w:rsid w:val="005E6BFE"/>
    <w:rsid w:val="00607882"/>
    <w:rsid w:val="00610489"/>
    <w:rsid w:val="00613478"/>
    <w:rsid w:val="00621FA1"/>
    <w:rsid w:val="006335AF"/>
    <w:rsid w:val="00633AA7"/>
    <w:rsid w:val="00641089"/>
    <w:rsid w:val="00645BD9"/>
    <w:rsid w:val="00687B19"/>
    <w:rsid w:val="00696396"/>
    <w:rsid w:val="006A1735"/>
    <w:rsid w:val="006A31A2"/>
    <w:rsid w:val="00707AD2"/>
    <w:rsid w:val="00711507"/>
    <w:rsid w:val="007231D6"/>
    <w:rsid w:val="00723228"/>
    <w:rsid w:val="007304B4"/>
    <w:rsid w:val="00752923"/>
    <w:rsid w:val="00781762"/>
    <w:rsid w:val="00793D20"/>
    <w:rsid w:val="00795A95"/>
    <w:rsid w:val="0079704B"/>
    <w:rsid w:val="007A312C"/>
    <w:rsid w:val="007E51F8"/>
    <w:rsid w:val="008101EE"/>
    <w:rsid w:val="00820376"/>
    <w:rsid w:val="00824297"/>
    <w:rsid w:val="00841700"/>
    <w:rsid w:val="00845677"/>
    <w:rsid w:val="00876290"/>
    <w:rsid w:val="00883A37"/>
    <w:rsid w:val="00886034"/>
    <w:rsid w:val="00893677"/>
    <w:rsid w:val="0089392A"/>
    <w:rsid w:val="008B6353"/>
    <w:rsid w:val="008B6D74"/>
    <w:rsid w:val="00913100"/>
    <w:rsid w:val="00954ED6"/>
    <w:rsid w:val="00955976"/>
    <w:rsid w:val="00963DFE"/>
    <w:rsid w:val="00972F0E"/>
    <w:rsid w:val="00975B03"/>
    <w:rsid w:val="009859D1"/>
    <w:rsid w:val="0099190B"/>
    <w:rsid w:val="00993938"/>
    <w:rsid w:val="009E100E"/>
    <w:rsid w:val="009E3C0C"/>
    <w:rsid w:val="00A066D4"/>
    <w:rsid w:val="00A23A7B"/>
    <w:rsid w:val="00A36474"/>
    <w:rsid w:val="00A42A24"/>
    <w:rsid w:val="00A51F76"/>
    <w:rsid w:val="00A53487"/>
    <w:rsid w:val="00A572C4"/>
    <w:rsid w:val="00AA4E93"/>
    <w:rsid w:val="00AD4E03"/>
    <w:rsid w:val="00AE7551"/>
    <w:rsid w:val="00AF4863"/>
    <w:rsid w:val="00B02824"/>
    <w:rsid w:val="00B32A38"/>
    <w:rsid w:val="00B60BDD"/>
    <w:rsid w:val="00B63711"/>
    <w:rsid w:val="00B70D94"/>
    <w:rsid w:val="00B833D6"/>
    <w:rsid w:val="00B8672F"/>
    <w:rsid w:val="00B97529"/>
    <w:rsid w:val="00BB374D"/>
    <w:rsid w:val="00BD16F0"/>
    <w:rsid w:val="00BE7C58"/>
    <w:rsid w:val="00C031D1"/>
    <w:rsid w:val="00C11590"/>
    <w:rsid w:val="00C14538"/>
    <w:rsid w:val="00C20B82"/>
    <w:rsid w:val="00C25E1B"/>
    <w:rsid w:val="00C4035E"/>
    <w:rsid w:val="00C72A43"/>
    <w:rsid w:val="00C871EE"/>
    <w:rsid w:val="00CD5A3E"/>
    <w:rsid w:val="00D35710"/>
    <w:rsid w:val="00D530A9"/>
    <w:rsid w:val="00D76EBF"/>
    <w:rsid w:val="00D925F8"/>
    <w:rsid w:val="00DB266E"/>
    <w:rsid w:val="00DC323D"/>
    <w:rsid w:val="00DC41FE"/>
    <w:rsid w:val="00DD0303"/>
    <w:rsid w:val="00DD1F8D"/>
    <w:rsid w:val="00DD4BC2"/>
    <w:rsid w:val="00DD7EE6"/>
    <w:rsid w:val="00E02B25"/>
    <w:rsid w:val="00E14A6F"/>
    <w:rsid w:val="00E14C4E"/>
    <w:rsid w:val="00E17153"/>
    <w:rsid w:val="00E20CC1"/>
    <w:rsid w:val="00E2177B"/>
    <w:rsid w:val="00E33A80"/>
    <w:rsid w:val="00E92806"/>
    <w:rsid w:val="00E95598"/>
    <w:rsid w:val="00E974B8"/>
    <w:rsid w:val="00EA5281"/>
    <w:rsid w:val="00EB6E0E"/>
    <w:rsid w:val="00ED0FF0"/>
    <w:rsid w:val="00EE2F1F"/>
    <w:rsid w:val="00EF37B1"/>
    <w:rsid w:val="00F21AD3"/>
    <w:rsid w:val="00F36854"/>
    <w:rsid w:val="00F6588A"/>
    <w:rsid w:val="00F74C6A"/>
    <w:rsid w:val="00F75D8D"/>
    <w:rsid w:val="00F84075"/>
    <w:rsid w:val="00F87D4A"/>
    <w:rsid w:val="00FA2866"/>
    <w:rsid w:val="00FB0B6B"/>
    <w:rsid w:val="00FE55FB"/>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character" w:styleId="BesuchterLink">
    <w:name w:val="FollowedHyperlink"/>
    <w:basedOn w:val="Absatz-Standardschriftart"/>
    <w:uiPriority w:val="99"/>
    <w:semiHidden/>
    <w:unhideWhenUsed/>
    <w:rsid w:val="00DB266E"/>
    <w:rPr>
      <w:color w:val="954F72" w:themeColor="followedHyperlink"/>
      <w:u w:val="single"/>
    </w:rPr>
  </w:style>
  <w:style w:type="paragraph" w:styleId="berarbeitung">
    <w:name w:val="Revision"/>
    <w:hidden/>
    <w:uiPriority w:val="99"/>
    <w:semiHidden/>
    <w:rsid w:val="001D26BF"/>
    <w:pPr>
      <w:spacing w:after="0" w:line="240" w:lineRule="auto"/>
    </w:pPr>
    <w:rPr>
      <w:rFonts w:ascii="Times New Roman" w:hAnsi="Times New Roman" w:cs="Times New Roman"/>
      <w:sz w:val="24"/>
      <w:szCs w:val="24"/>
      <w:lang w:val="de-DE" w:eastAsia="zh-CN"/>
    </w:rPr>
  </w:style>
  <w:style w:type="character" w:customStyle="1" w:styleId="UnresolvedMention">
    <w:name w:val="Unresolved Mention"/>
    <w:basedOn w:val="Absatz-Standardschriftart"/>
    <w:uiPriority w:val="99"/>
    <w:semiHidden/>
    <w:unhideWhenUsed/>
    <w:rsid w:val="00045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929717">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2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nttdata.com/newsroom/2021/ntt-data-tritt-der-green-software-foundation-als-lenkungsmitglied-bei" TargetMode="External"/><Relationship Id="rId13" Type="http://schemas.openxmlformats.org/officeDocument/2006/relationships/hyperlink" Target="mailto:g.oelschlaeger@storymaker.de" TargetMode="External"/><Relationship Id="rId3" Type="http://schemas.openxmlformats.org/officeDocument/2006/relationships/settings" Target="settings.xml"/><Relationship Id="rId7" Type="http://schemas.openxmlformats.org/officeDocument/2006/relationships/hyperlink" Target="https://de.nttdata.com/" TargetMode="External"/><Relationship Id="rId12" Type="http://schemas.openxmlformats.org/officeDocument/2006/relationships/hyperlink" Target="mailto:cornelia.spitzer@nttdat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ttdata.com/global/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reensoftware.foundation/" TargetMode="External"/><Relationship Id="rId4" Type="http://schemas.openxmlformats.org/officeDocument/2006/relationships/webSettings" Target="webSettings.xml"/><Relationship Id="rId9" Type="http://schemas.openxmlformats.org/officeDocument/2006/relationships/hyperlink" Target="https://group.ntt/en/newsrelease/2021/09/28/210928a.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5572</Characters>
  <Application>Microsoft Office Word</Application>
  <DocSecurity>0</DocSecurity>
  <Lines>46</Lines>
  <Paragraphs>12</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2</cp:revision>
  <dcterms:created xsi:type="dcterms:W3CDTF">2021-12-09T08:13:00Z</dcterms:created>
  <dcterms:modified xsi:type="dcterms:W3CDTF">2021-12-09T08:13:00Z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